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6D" w:rsidRPr="00596E57" w:rsidRDefault="00596E57" w:rsidP="00596E57">
      <w:pPr>
        <w:tabs>
          <w:tab w:val="left" w:pos="2745"/>
        </w:tabs>
        <w:rPr>
          <w:b/>
          <w:sz w:val="24"/>
          <w:szCs w:val="24"/>
        </w:rPr>
      </w:pPr>
      <w:r w:rsidRPr="00596E57">
        <w:rPr>
          <w:b/>
          <w:sz w:val="24"/>
          <w:szCs w:val="24"/>
        </w:rPr>
        <w:t>CMS DATA ENTRY INSTRUCTIONS FOR RESOURCE FAMILY APPLICATIONS AND PLACEMENTS</w:t>
      </w:r>
    </w:p>
    <w:p w:rsidR="00596E57" w:rsidRPr="00346CC6" w:rsidRDefault="00596E57">
      <w:r>
        <w:t xml:space="preserve">The following instructions have been developed to instruct counties </w:t>
      </w:r>
      <w:r w:rsidR="00F8282A">
        <w:t xml:space="preserve">on </w:t>
      </w:r>
      <w:r>
        <w:t xml:space="preserve">how to enter data regarding Resource Family Approval (RFA) applicants and placements </w:t>
      </w:r>
      <w:r w:rsidR="00E404ED">
        <w:t>with approved Resource Families.</w:t>
      </w:r>
    </w:p>
    <w:p w:rsidR="00A73B6D" w:rsidRDefault="001B2EE0">
      <w:r>
        <w:rPr>
          <w:b/>
        </w:rPr>
        <w:t xml:space="preserve">RFA APPLICANT INFORMATION </w:t>
      </w:r>
      <w:r>
        <w:t xml:space="preserve">should be entered </w:t>
      </w:r>
      <w:r w:rsidRPr="00F31CCE">
        <w:rPr>
          <w:u w:val="single"/>
        </w:rPr>
        <w:t>at the beginning of the process</w:t>
      </w:r>
      <w:r w:rsidR="00F31CCE">
        <w:t xml:space="preserve"> </w:t>
      </w:r>
      <w:r w:rsidR="0043299C">
        <w:t>on all applicants</w:t>
      </w:r>
      <w:r>
        <w:t>,</w:t>
      </w:r>
      <w:r w:rsidR="0043299C">
        <w:t xml:space="preserve"> including relatives. </w:t>
      </w:r>
      <w:r w:rsidR="00BE4452">
        <w:t xml:space="preserve"> </w:t>
      </w:r>
      <w:r w:rsidR="0043299C">
        <w:t xml:space="preserve">It is also vital that the </w:t>
      </w:r>
      <w:r w:rsidR="001A64A8">
        <w:t xml:space="preserve">state developed </w:t>
      </w:r>
      <w:r w:rsidR="00F8282A">
        <w:t>S</w:t>
      </w:r>
      <w:r w:rsidR="0043299C">
        <w:t xml:space="preserve">pecial </w:t>
      </w:r>
      <w:r w:rsidR="00F8282A">
        <w:t>P</w:t>
      </w:r>
      <w:r w:rsidR="0043299C">
        <w:t xml:space="preserve">roject </w:t>
      </w:r>
      <w:r w:rsidR="00F8282A">
        <w:t>C</w:t>
      </w:r>
      <w:r w:rsidR="0043299C">
        <w:t>ode</w:t>
      </w:r>
      <w:r w:rsidR="00C8651D">
        <w:t xml:space="preserve"> (SPC)</w:t>
      </w:r>
      <w:r w:rsidR="0043299C">
        <w:t xml:space="preserve"> for RFA be used</w:t>
      </w:r>
      <w:r w:rsidR="00BE4452">
        <w:t xml:space="preserve"> for every applicant</w:t>
      </w:r>
      <w:r>
        <w:t xml:space="preserve">.  </w:t>
      </w:r>
      <w:r w:rsidR="00346CC6">
        <w:t xml:space="preserve">This will enable us to track the application process from beginning to end in </w:t>
      </w:r>
      <w:r w:rsidR="009413EB">
        <w:t>CWS/</w:t>
      </w:r>
      <w:r w:rsidR="00346CC6">
        <w:t>CMS and e</w:t>
      </w:r>
      <w:r w:rsidR="00F8282A">
        <w:t>liminate the need for counties</w:t>
      </w:r>
      <w:r w:rsidR="00346CC6">
        <w:t xml:space="preserve"> to submit separate</w:t>
      </w:r>
      <w:r w:rsidR="0043299C">
        <w:t xml:space="preserve"> quarterly</w:t>
      </w:r>
      <w:r w:rsidR="00346CC6">
        <w:t xml:space="preserve"> data </w:t>
      </w:r>
      <w:r w:rsidR="0043299C">
        <w:t>reports</w:t>
      </w:r>
      <w:r w:rsidR="00346CC6">
        <w:t xml:space="preserve"> to CDSS.</w:t>
      </w:r>
      <w:r w:rsidR="0043299C">
        <w:t xml:space="preserve">  </w:t>
      </w:r>
      <w:r w:rsidR="00C8651D">
        <w:t xml:space="preserve">Additionally, the SPC will enable us to look at data around placement stability and permanency outcomes for children placed </w:t>
      </w:r>
      <w:r w:rsidR="00E404ED">
        <w:t>with Resource Families</w:t>
      </w:r>
      <w:r w:rsidR="00C8651D">
        <w:t xml:space="preserve"> to evaluate the effectiveness of the RFA process.</w:t>
      </w:r>
      <w:r w:rsidR="00BE4452">
        <w:t xml:space="preserve">  A SPC for out of county placements</w:t>
      </w:r>
      <w:r w:rsidR="001A64A8">
        <w:t xml:space="preserve"> has</w:t>
      </w:r>
      <w:r w:rsidR="00BE4452">
        <w:t xml:space="preserve"> also be</w:t>
      </w:r>
      <w:r w:rsidR="001A64A8">
        <w:t>en</w:t>
      </w:r>
      <w:r w:rsidR="00BE4452">
        <w:t xml:space="preserve"> developed. </w:t>
      </w:r>
    </w:p>
    <w:p w:rsidR="00A9008D" w:rsidRPr="00F31CCE" w:rsidRDefault="00A9008D" w:rsidP="00EE3082">
      <w:pPr>
        <w:spacing w:after="0"/>
      </w:pPr>
      <w:r>
        <w:t xml:space="preserve">These instructions address items specific to RFA and do not include the normal steps for creating a placement home, etc.  All of those required steps and data fields are still necessary.  </w:t>
      </w:r>
      <w:r w:rsidR="00F2447F">
        <w:t xml:space="preserve">The following grid shows the data elements that are </w:t>
      </w:r>
      <w:r w:rsidR="0077604E">
        <w:t xml:space="preserve">being used </w:t>
      </w:r>
      <w:r w:rsidR="00444AE7">
        <w:t>to evaluate the RFA process.</w:t>
      </w:r>
    </w:p>
    <w:tbl>
      <w:tblPr>
        <w:tblpPr w:leftFromText="180" w:rightFromText="180" w:vertAnchor="page" w:horzAnchor="margin" w:tblpY="6871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445"/>
        <w:gridCol w:w="5130"/>
      </w:tblGrid>
      <w:tr w:rsidR="00F2447F" w:rsidRPr="00F2447F" w:rsidTr="00014C9C">
        <w:trPr>
          <w:trHeight w:val="527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Application Received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>Resource management -  county license case  "application received"  date field</w:t>
            </w:r>
          </w:p>
        </w:tc>
      </w:tr>
      <w:tr w:rsidR="00F2447F" w:rsidRPr="00F2447F" w:rsidTr="00014C9C">
        <w:trPr>
          <w:trHeight w:val="527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Disposition of Application  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Assumed pending until License status is </w:t>
            </w:r>
            <w:r w:rsidR="001A64A8" w:rsidRPr="00D91813">
              <w:rPr>
                <w:rFonts w:ascii="Calibri" w:eastAsia="Times New Roman" w:hAnsi="Calibri" w:cs="Times New Roman"/>
                <w:sz w:val="20"/>
                <w:szCs w:val="20"/>
              </w:rPr>
              <w:t>entered as “provisional”</w:t>
            </w:r>
          </w:p>
        </w:tc>
      </w:tr>
      <w:tr w:rsidR="00F2447F" w:rsidRPr="00F2447F" w:rsidTr="00014C9C">
        <w:trPr>
          <w:trHeight w:val="527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1A64A8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Comprehensive</w:t>
            </w: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Assessment </w:t>
            </w:r>
            <w:r w:rsidR="00F2447F"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77604E" w:rsidP="00EE30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>Date of “provisional” license</w:t>
            </w:r>
            <w:r w:rsidR="00F2447F"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</w:t>
            </w:r>
          </w:p>
        </w:tc>
      </w:tr>
      <w:tr w:rsidR="00F2447F" w:rsidRPr="00F2447F" w:rsidTr="00014C9C">
        <w:trPr>
          <w:trHeight w:val="536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 Annual Update Completed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>Resource management -  county license case  "annual visit completed" field</w:t>
            </w:r>
          </w:p>
        </w:tc>
      </w:tr>
      <w:tr w:rsidR="00F2447F" w:rsidRPr="00F2447F" w:rsidTr="00014C9C">
        <w:trPr>
          <w:trHeight w:val="347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Annual Update Disposition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>"</w:t>
            </w:r>
            <w:proofErr w:type="gramStart"/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>annual</w:t>
            </w:r>
            <w:proofErr w:type="gramEnd"/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 visit completed"  date.  </w:t>
            </w:r>
            <w:r w:rsidRPr="00D918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License status</w:t>
            </w: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07CF3" w:rsidRPr="00D91813">
              <w:rPr>
                <w:rFonts w:ascii="Calibri" w:eastAsia="Times New Roman" w:hAnsi="Calibri" w:cs="Times New Roman"/>
                <w:sz w:val="20"/>
                <w:szCs w:val="20"/>
              </w:rPr>
              <w:t>field</w:t>
            </w:r>
            <w:r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="00707CF3" w:rsidRPr="00D9181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F2447F" w:rsidRPr="00F2447F" w:rsidTr="00014C9C">
        <w:trPr>
          <w:trHeight w:val="536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Resource management -   Placement home -                    substitute care provider page</w:t>
            </w:r>
          </w:p>
        </w:tc>
      </w:tr>
      <w:tr w:rsidR="00F2447F" w:rsidRPr="00F2447F" w:rsidTr="00014C9C">
        <w:trPr>
          <w:trHeight w:val="347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 Race/Ethnicity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page</w:t>
            </w:r>
          </w:p>
        </w:tc>
      </w:tr>
      <w:tr w:rsidR="00F2447F" w:rsidRPr="00F2447F" w:rsidTr="00707CF3">
        <w:trPr>
          <w:trHeight w:val="347"/>
        </w:trPr>
        <w:tc>
          <w:tcPr>
            <w:tcW w:w="723" w:type="dxa"/>
            <w:shd w:val="clear" w:color="auto" w:fill="auto"/>
            <w:noWrap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5" w:type="dxa"/>
            <w:shd w:val="clear" w:color="000000" w:fill="FFFFFF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5130" w:type="dxa"/>
            <w:shd w:val="clear" w:color="auto" w:fill="auto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Page (DOB)</w:t>
            </w:r>
          </w:p>
        </w:tc>
      </w:tr>
      <w:tr w:rsidR="00F2447F" w:rsidRPr="00F2447F" w:rsidTr="00014C9C">
        <w:trPr>
          <w:trHeight w:val="302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Educational Level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page</w:t>
            </w:r>
          </w:p>
        </w:tc>
      </w:tr>
      <w:tr w:rsidR="00F2447F" w:rsidRPr="00F2447F" w:rsidTr="00014C9C">
        <w:trPr>
          <w:trHeight w:val="581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EA209A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="00F2447F"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riminal </w:t>
            </w: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="00F2447F"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xemptions </w:t>
            </w: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Resource management -  Placement home -                  background check page </w:t>
            </w:r>
            <w:r w:rsidR="00EA209A"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F2447F" w:rsidRPr="00F2447F" w:rsidTr="001A64A8">
        <w:trPr>
          <w:trHeight w:val="530"/>
        </w:trPr>
        <w:tc>
          <w:tcPr>
            <w:tcW w:w="723" w:type="dxa"/>
            <w:shd w:val="clear" w:color="auto" w:fill="auto"/>
            <w:noWrap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5" w:type="dxa"/>
            <w:shd w:val="clear" w:color="000000" w:fill="FFFFFF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adults in the home</w:t>
            </w:r>
          </w:p>
        </w:tc>
        <w:tc>
          <w:tcPr>
            <w:tcW w:w="5130" w:type="dxa"/>
            <w:shd w:val="clear" w:color="auto" w:fill="auto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Resource management -  Placement home – other adults page  (use if applicable)</w:t>
            </w:r>
          </w:p>
        </w:tc>
      </w:tr>
      <w:tr w:rsidR="00F2447F" w:rsidRPr="00F2447F" w:rsidTr="00707CF3">
        <w:trPr>
          <w:trHeight w:val="563"/>
        </w:trPr>
        <w:tc>
          <w:tcPr>
            <w:tcW w:w="723" w:type="dxa"/>
            <w:shd w:val="clear" w:color="auto" w:fill="auto"/>
            <w:noWrap/>
          </w:tcPr>
          <w:p w:rsidR="00F2447F" w:rsidRPr="00D91813" w:rsidRDefault="00F2447F" w:rsidP="00EE3082">
            <w:pPr>
              <w:spacing w:after="0"/>
              <w:rPr>
                <w:sz w:val="20"/>
                <w:szCs w:val="20"/>
              </w:rPr>
            </w:pPr>
            <w:r w:rsidRPr="00D91813">
              <w:rPr>
                <w:sz w:val="20"/>
                <w:szCs w:val="20"/>
              </w:rPr>
              <w:t xml:space="preserve">    </w:t>
            </w:r>
            <w:r w:rsidR="00D91813">
              <w:rPr>
                <w:sz w:val="20"/>
                <w:szCs w:val="20"/>
              </w:rPr>
              <w:t xml:space="preserve">  </w:t>
            </w:r>
            <w:r w:rsidRPr="00D91813">
              <w:rPr>
                <w:sz w:val="20"/>
                <w:szCs w:val="20"/>
              </w:rPr>
              <w:t>12</w:t>
            </w:r>
          </w:p>
        </w:tc>
        <w:tc>
          <w:tcPr>
            <w:tcW w:w="2445" w:type="dxa"/>
            <w:shd w:val="clear" w:color="000000" w:fill="FFFFFF"/>
          </w:tcPr>
          <w:p w:rsidR="00F2447F" w:rsidRPr="00D91813" w:rsidRDefault="00F2447F" w:rsidP="00EE3082">
            <w:pPr>
              <w:spacing w:after="0"/>
              <w:rPr>
                <w:sz w:val="20"/>
                <w:szCs w:val="20"/>
              </w:rPr>
            </w:pPr>
            <w:r w:rsidRPr="00D91813">
              <w:rPr>
                <w:sz w:val="20"/>
                <w:szCs w:val="20"/>
              </w:rPr>
              <w:t>Date child placed in home</w:t>
            </w:r>
          </w:p>
        </w:tc>
        <w:tc>
          <w:tcPr>
            <w:tcW w:w="5130" w:type="dxa"/>
            <w:shd w:val="clear" w:color="auto" w:fill="auto"/>
          </w:tcPr>
          <w:p w:rsidR="00F2447F" w:rsidRPr="00D91813" w:rsidRDefault="00F2447F" w:rsidP="00EE3082">
            <w:pPr>
              <w:spacing w:after="0"/>
              <w:rPr>
                <w:sz w:val="20"/>
                <w:szCs w:val="20"/>
              </w:rPr>
            </w:pPr>
            <w:r w:rsidRPr="00D91813">
              <w:rPr>
                <w:sz w:val="20"/>
                <w:szCs w:val="20"/>
              </w:rPr>
              <w:t>Client Services - case -  Placement -  ID t</w:t>
            </w:r>
            <w:r w:rsidR="00707CF3" w:rsidRPr="00D91813">
              <w:rPr>
                <w:sz w:val="20"/>
                <w:szCs w:val="20"/>
              </w:rPr>
              <w:t xml:space="preserve">ab - "start date" field </w:t>
            </w:r>
            <w:r w:rsidRPr="00D91813">
              <w:rPr>
                <w:sz w:val="20"/>
                <w:szCs w:val="20"/>
              </w:rPr>
              <w:t xml:space="preserve">         </w:t>
            </w:r>
          </w:p>
        </w:tc>
      </w:tr>
      <w:tr w:rsidR="00F2447F" w:rsidRPr="00F2447F" w:rsidTr="00014C9C">
        <w:trPr>
          <w:trHeight w:val="500"/>
        </w:trPr>
        <w:tc>
          <w:tcPr>
            <w:tcW w:w="723" w:type="dxa"/>
            <w:shd w:val="clear" w:color="auto" w:fill="auto"/>
            <w:noWrap/>
            <w:hideMark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5" w:type="dxa"/>
            <w:shd w:val="clear" w:color="000000" w:fill="FFFFFF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Relationship to applicant</w:t>
            </w:r>
          </w:p>
        </w:tc>
        <w:tc>
          <w:tcPr>
            <w:tcW w:w="5130" w:type="dxa"/>
            <w:shd w:val="clear" w:color="auto" w:fill="auto"/>
            <w:hideMark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Client Services - case  - Placement      ID tab  "care provider relationship to child" field                      </w:t>
            </w:r>
          </w:p>
        </w:tc>
      </w:tr>
      <w:tr w:rsidR="00F2447F" w:rsidRPr="00F2447F" w:rsidTr="00014C9C">
        <w:trPr>
          <w:trHeight w:val="518"/>
        </w:trPr>
        <w:tc>
          <w:tcPr>
            <w:tcW w:w="723" w:type="dxa"/>
            <w:shd w:val="clear" w:color="auto" w:fill="auto"/>
            <w:noWrap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5" w:type="dxa"/>
            <w:shd w:val="clear" w:color="000000" w:fill="FFFFFF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Placement</w:t>
            </w:r>
          </w:p>
        </w:tc>
        <w:tc>
          <w:tcPr>
            <w:tcW w:w="5130" w:type="dxa"/>
            <w:shd w:val="clear" w:color="auto" w:fill="auto"/>
          </w:tcPr>
          <w:p w:rsidR="00F2447F" w:rsidRPr="00014C9C" w:rsidRDefault="00F2447F" w:rsidP="00EE3082">
            <w:pPr>
              <w:spacing w:after="0" w:line="240" w:lineRule="auto"/>
              <w:rPr>
                <w:sz w:val="20"/>
                <w:szCs w:val="20"/>
              </w:rPr>
            </w:pPr>
            <w:r w:rsidRPr="00D91813">
              <w:rPr>
                <w:sz w:val="20"/>
                <w:szCs w:val="20"/>
              </w:rPr>
              <w:t xml:space="preserve">Client Services-case – Placement – ID tab – placement information - check "emergency placement" </w:t>
            </w:r>
          </w:p>
        </w:tc>
      </w:tr>
      <w:tr w:rsidR="00F2447F" w:rsidRPr="00F2447F" w:rsidTr="00014C9C">
        <w:trPr>
          <w:trHeight w:val="500"/>
        </w:trPr>
        <w:tc>
          <w:tcPr>
            <w:tcW w:w="723" w:type="dxa"/>
            <w:shd w:val="clear" w:color="auto" w:fill="auto"/>
            <w:noWrap/>
          </w:tcPr>
          <w:p w:rsidR="00F2447F" w:rsidRPr="00D91813" w:rsidRDefault="00F2447F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5" w:type="dxa"/>
            <w:shd w:val="clear" w:color="000000" w:fill="FFFFFF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Complaints/fair hearings </w:t>
            </w:r>
          </w:p>
        </w:tc>
        <w:tc>
          <w:tcPr>
            <w:tcW w:w="5130" w:type="dxa"/>
            <w:shd w:val="clear" w:color="auto" w:fill="auto"/>
          </w:tcPr>
          <w:p w:rsidR="00F2447F" w:rsidRPr="00D91813" w:rsidRDefault="00F2447F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Resource Management - County license case – issues tab – </w:t>
            </w:r>
            <w:r w:rsidR="00707CF3"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 instructions.</w:t>
            </w:r>
          </w:p>
        </w:tc>
      </w:tr>
      <w:tr w:rsidR="006C1066" w:rsidRPr="00F2447F" w:rsidTr="00014C9C">
        <w:trPr>
          <w:trHeight w:val="530"/>
        </w:trPr>
        <w:tc>
          <w:tcPr>
            <w:tcW w:w="723" w:type="dxa"/>
            <w:shd w:val="clear" w:color="auto" w:fill="auto"/>
            <w:noWrap/>
          </w:tcPr>
          <w:p w:rsidR="006C1066" w:rsidRPr="00D91813" w:rsidRDefault="006C1066" w:rsidP="00EE3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5" w:type="dxa"/>
            <w:shd w:val="clear" w:color="000000" w:fill="FFFFFF"/>
          </w:tcPr>
          <w:p w:rsidR="006C1066" w:rsidRPr="00D91813" w:rsidRDefault="006C1066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RFA Relative homes</w:t>
            </w:r>
          </w:p>
        </w:tc>
        <w:tc>
          <w:tcPr>
            <w:tcW w:w="5130" w:type="dxa"/>
            <w:shd w:val="clear" w:color="auto" w:fill="auto"/>
          </w:tcPr>
          <w:p w:rsidR="006C1066" w:rsidRPr="00D91813" w:rsidRDefault="006C1066" w:rsidP="00EE3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8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Placement home special project page and caregiver provider relationship field</w:t>
            </w:r>
          </w:p>
        </w:tc>
      </w:tr>
    </w:tbl>
    <w:p w:rsidR="00014DB2" w:rsidRDefault="00014DB2" w:rsidP="00EE3082">
      <w:pPr>
        <w:spacing w:after="0"/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014DB2" w:rsidRDefault="00014DB2">
      <w:pPr>
        <w:rPr>
          <w:b/>
        </w:rPr>
      </w:pPr>
    </w:p>
    <w:p w:rsidR="00803301" w:rsidRDefault="00803301">
      <w:pPr>
        <w:rPr>
          <w:b/>
        </w:rPr>
      </w:pPr>
    </w:p>
    <w:p w:rsidR="00067D72" w:rsidRDefault="00067D72">
      <w:pPr>
        <w:rPr>
          <w:b/>
        </w:rPr>
      </w:pPr>
    </w:p>
    <w:p w:rsidR="00CD2A3E" w:rsidRDefault="00CD2A3E">
      <w:pPr>
        <w:rPr>
          <w:b/>
        </w:rPr>
      </w:pPr>
    </w:p>
    <w:p w:rsidR="00CD2A3E" w:rsidRDefault="00CD2A3E">
      <w:pPr>
        <w:rPr>
          <w:b/>
        </w:rPr>
      </w:pPr>
    </w:p>
    <w:p w:rsidR="00CD2A3E" w:rsidRDefault="00CD2A3E">
      <w:pPr>
        <w:rPr>
          <w:b/>
        </w:rPr>
      </w:pPr>
    </w:p>
    <w:p w:rsidR="00E0274E" w:rsidRPr="007723FE" w:rsidRDefault="0016591F">
      <w:pPr>
        <w:rPr>
          <w:b/>
        </w:rPr>
      </w:pPr>
      <w:r w:rsidRPr="007723FE">
        <w:rPr>
          <w:b/>
        </w:rPr>
        <w:t xml:space="preserve">RESOURCE MANAGEMENT </w:t>
      </w:r>
      <w:r>
        <w:rPr>
          <w:b/>
        </w:rPr>
        <w:t>APPLICATION</w:t>
      </w:r>
    </w:p>
    <w:p w:rsidR="00E0274E" w:rsidRPr="0016591F" w:rsidRDefault="00D864F9">
      <w:pPr>
        <w:rPr>
          <w:b/>
        </w:rPr>
      </w:pPr>
      <w:r w:rsidRPr="0016591F">
        <w:rPr>
          <w:b/>
        </w:rPr>
        <w:t xml:space="preserve">Placement </w:t>
      </w:r>
      <w:r w:rsidR="009413EB">
        <w:rPr>
          <w:b/>
        </w:rPr>
        <w:t>H</w:t>
      </w:r>
      <w:r w:rsidRPr="0016591F">
        <w:rPr>
          <w:b/>
        </w:rPr>
        <w:t xml:space="preserve">ome/Substitute Care Provider </w:t>
      </w:r>
      <w:r w:rsidR="00B663CC" w:rsidRPr="0016591F">
        <w:rPr>
          <w:b/>
        </w:rPr>
        <w:t>page</w:t>
      </w:r>
    </w:p>
    <w:p w:rsidR="00B21747" w:rsidRPr="00B21747" w:rsidRDefault="00C059A7" w:rsidP="00B21747">
      <w:pPr>
        <w:pStyle w:val="ListParagraph"/>
        <w:numPr>
          <w:ilvl w:val="0"/>
          <w:numId w:val="8"/>
        </w:numPr>
      </w:pPr>
      <w:r>
        <w:t xml:space="preserve">Enter </w:t>
      </w:r>
      <w:r w:rsidR="002A6380">
        <w:t xml:space="preserve">all necessary information to create a Placement </w:t>
      </w:r>
      <w:r w:rsidR="009413EB">
        <w:t>H</w:t>
      </w:r>
      <w:r w:rsidR="002A6380">
        <w:t xml:space="preserve">ome notebook. </w:t>
      </w:r>
      <w:r w:rsidR="00620E9F">
        <w:t xml:space="preserve"> Select facility type of “FFH” for </w:t>
      </w:r>
      <w:r w:rsidR="00620E9F" w:rsidRPr="00620E9F">
        <w:rPr>
          <w:u w:val="single"/>
        </w:rPr>
        <w:t>all</w:t>
      </w:r>
      <w:r w:rsidR="00620E9F">
        <w:t xml:space="preserve"> applicants (see </w:t>
      </w:r>
      <w:r w:rsidR="00BA5BCC">
        <w:t>page</w:t>
      </w:r>
      <w:r w:rsidR="0026230A">
        <w:t xml:space="preserve"> 7</w:t>
      </w:r>
      <w:r w:rsidR="00620E9F">
        <w:t xml:space="preserve"> for </w:t>
      </w:r>
      <w:r w:rsidR="00BA5BCC">
        <w:t>additional relative info</w:t>
      </w:r>
      <w:r w:rsidR="00620E9F">
        <w:t>)</w:t>
      </w:r>
      <w:r w:rsidR="00BA5BCC">
        <w:t>.</w:t>
      </w:r>
      <w:r w:rsidR="00620E9F">
        <w:t xml:space="preserve"> </w:t>
      </w:r>
      <w:r w:rsidR="002A6380">
        <w:t xml:space="preserve"> The </w:t>
      </w:r>
      <w:r w:rsidR="004610F9">
        <w:t>fields</w:t>
      </w:r>
      <w:r w:rsidR="002A6380">
        <w:t xml:space="preserve"> (highlighted) </w:t>
      </w:r>
      <w:r w:rsidR="00BA5BCC">
        <w:t xml:space="preserve">in the screen shot </w:t>
      </w:r>
      <w:r w:rsidR="00CD2A3E">
        <w:t>include</w:t>
      </w:r>
      <w:r w:rsidR="00DA4276">
        <w:t xml:space="preserve"> </w:t>
      </w:r>
      <w:r w:rsidR="002A6380">
        <w:t xml:space="preserve">the demographic information being collected for </w:t>
      </w:r>
      <w:r w:rsidR="00BA5BCC">
        <w:t xml:space="preserve">all </w:t>
      </w:r>
      <w:r w:rsidR="002A6380">
        <w:t>RFA applicants</w:t>
      </w:r>
      <w:r w:rsidR="00C05D30">
        <w:t xml:space="preserve"> (elements 6-9)</w:t>
      </w:r>
      <w:r w:rsidR="002A6380">
        <w:t xml:space="preserve">.  Enter applicant information </w:t>
      </w:r>
      <w:r w:rsidR="00BA5BCC">
        <w:t>when the application is received</w:t>
      </w:r>
      <w:r w:rsidR="0016591F">
        <w:t xml:space="preserve">. This will enable us to have data on withdrawn and denied applicants as well. </w:t>
      </w:r>
    </w:p>
    <w:p w:rsidR="0016591F" w:rsidRPr="00E439B5" w:rsidRDefault="00DA4276" w:rsidP="00EE5E6B">
      <w:r>
        <w:rPr>
          <w:noProof/>
        </w:rPr>
        <w:drawing>
          <wp:inline distT="0" distB="0" distL="0" distR="0" wp14:anchorId="17F58C71" wp14:editId="42199621">
            <wp:extent cx="5938496" cy="57912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082" w:rsidRDefault="00EE3082" w:rsidP="00024634">
      <w:pPr>
        <w:rPr>
          <w:b/>
        </w:rPr>
      </w:pPr>
    </w:p>
    <w:p w:rsidR="00024634" w:rsidRDefault="00024634" w:rsidP="00024634">
      <w:r w:rsidRPr="007723FE">
        <w:rPr>
          <w:b/>
        </w:rPr>
        <w:t>Placement home</w:t>
      </w:r>
      <w:r w:rsidR="00F06275">
        <w:rPr>
          <w:b/>
        </w:rPr>
        <w:t xml:space="preserve"> (cont’d) </w:t>
      </w:r>
      <w:r>
        <w:rPr>
          <w:b/>
        </w:rPr>
        <w:t xml:space="preserve">/Special Projects page </w:t>
      </w:r>
      <w:r w:rsidR="00B44DDF">
        <w:rPr>
          <w:b/>
        </w:rPr>
        <w:t xml:space="preserve"> </w:t>
      </w:r>
    </w:p>
    <w:p w:rsidR="00DE42F8" w:rsidRDefault="00DE42F8" w:rsidP="00DE42F8">
      <w:pPr>
        <w:pStyle w:val="ListParagraph"/>
        <w:numPr>
          <w:ilvl w:val="0"/>
          <w:numId w:val="8"/>
        </w:numPr>
      </w:pPr>
      <w:r>
        <w:t xml:space="preserve">For all applicants enter the RFA </w:t>
      </w:r>
      <w:r w:rsidR="009413EB">
        <w:t>S</w:t>
      </w:r>
      <w:r>
        <w:t xml:space="preserve">pecial </w:t>
      </w:r>
      <w:r w:rsidR="009413EB">
        <w:t>P</w:t>
      </w:r>
      <w:r>
        <w:t xml:space="preserve">roject </w:t>
      </w:r>
      <w:r w:rsidR="009413EB">
        <w:t>C</w:t>
      </w:r>
      <w:r>
        <w:t>ode (SPC)</w:t>
      </w:r>
      <w:r w:rsidRPr="00651811">
        <w:t xml:space="preserve"> </w:t>
      </w:r>
      <w:r>
        <w:t xml:space="preserve">in the drop down menu – </w:t>
      </w:r>
      <w:r w:rsidR="00B44DDF">
        <w:t>“</w:t>
      </w:r>
      <w:proofErr w:type="spellStart"/>
      <w:r>
        <w:t>Resou</w:t>
      </w:r>
      <w:proofErr w:type="spellEnd"/>
      <w:r>
        <w:t xml:space="preserve"> Family </w:t>
      </w:r>
      <w:proofErr w:type="spellStart"/>
      <w:r>
        <w:t>Appvl</w:t>
      </w:r>
      <w:proofErr w:type="spellEnd"/>
      <w:r>
        <w:t xml:space="preserve"> </w:t>
      </w:r>
      <w:proofErr w:type="spellStart"/>
      <w:r>
        <w:t>Placmt</w:t>
      </w:r>
      <w:proofErr w:type="spellEnd"/>
      <w:r>
        <w:t xml:space="preserve"> Home</w:t>
      </w:r>
      <w:r w:rsidR="00B44DDF">
        <w:t>” or  “S-RFH – out of county”</w:t>
      </w:r>
    </w:p>
    <w:p w:rsidR="00024634" w:rsidRDefault="00DE42F8" w:rsidP="00EE3082">
      <w:pPr>
        <w:pStyle w:val="ListParagraph"/>
        <w:ind w:left="1440"/>
      </w:pPr>
      <w:r>
        <w:t>Note:  A</w:t>
      </w:r>
      <w:r w:rsidR="004610F9">
        <w:t>ll</w:t>
      </w:r>
      <w:r>
        <w:t xml:space="preserve"> counties must enter the same code.  If you want to use additional county specific codes, that is fine, but you must use the </w:t>
      </w:r>
      <w:r w:rsidR="00B44DDF">
        <w:t xml:space="preserve">appropriate </w:t>
      </w:r>
      <w:r>
        <w:t>state developed code first.</w:t>
      </w:r>
    </w:p>
    <w:p w:rsidR="00DE42F8" w:rsidRDefault="00DE42F8" w:rsidP="00DE42F8">
      <w:pPr>
        <w:pStyle w:val="ListParagraph"/>
        <w:ind w:left="1440"/>
      </w:pPr>
      <w:r>
        <w:t xml:space="preserve"> </w:t>
      </w:r>
    </w:p>
    <w:p w:rsidR="00024634" w:rsidRDefault="00E404ED" w:rsidP="00DE42F8">
      <w:pPr>
        <w:pStyle w:val="ListParagraph"/>
        <w:ind w:left="1440"/>
      </w:pPr>
      <w:r>
        <w:rPr>
          <w:noProof/>
        </w:rPr>
        <w:drawing>
          <wp:inline distT="0" distB="0" distL="0" distR="0" wp14:anchorId="4A0D6D31" wp14:editId="524005C4">
            <wp:extent cx="5791200" cy="387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024634" w:rsidRDefault="00024634" w:rsidP="00DE42F8">
      <w:pPr>
        <w:pStyle w:val="ListParagraph"/>
        <w:ind w:left="1440"/>
      </w:pPr>
    </w:p>
    <w:p w:rsidR="00EE3082" w:rsidRDefault="00EE3082" w:rsidP="00DE42F8">
      <w:pPr>
        <w:pStyle w:val="ListParagraph"/>
        <w:ind w:left="1440"/>
      </w:pPr>
    </w:p>
    <w:p w:rsidR="00067D72" w:rsidRDefault="00067D72" w:rsidP="00EE5E6B"/>
    <w:p w:rsidR="004339FE" w:rsidRDefault="00FD02E0" w:rsidP="00EE5E6B">
      <w:pPr>
        <w:rPr>
          <w:b/>
        </w:rPr>
      </w:pPr>
      <w:r w:rsidRPr="007723FE">
        <w:rPr>
          <w:b/>
        </w:rPr>
        <w:t xml:space="preserve">Placement </w:t>
      </w:r>
      <w:r w:rsidR="009413EB">
        <w:rPr>
          <w:b/>
        </w:rPr>
        <w:t>H</w:t>
      </w:r>
      <w:r w:rsidRPr="007723FE">
        <w:rPr>
          <w:b/>
        </w:rPr>
        <w:t>ome</w:t>
      </w:r>
      <w:r w:rsidR="00F06275">
        <w:rPr>
          <w:b/>
        </w:rPr>
        <w:t xml:space="preserve"> (cont’d)</w:t>
      </w:r>
      <w:r w:rsidRPr="007723FE">
        <w:rPr>
          <w:b/>
        </w:rPr>
        <w:t>/</w:t>
      </w:r>
      <w:r w:rsidR="009413EB">
        <w:rPr>
          <w:b/>
        </w:rPr>
        <w:t>B</w:t>
      </w:r>
      <w:r w:rsidRPr="007723FE">
        <w:rPr>
          <w:b/>
        </w:rPr>
        <w:t xml:space="preserve">ackground </w:t>
      </w:r>
      <w:r w:rsidR="009413EB">
        <w:rPr>
          <w:b/>
        </w:rPr>
        <w:t>C</w:t>
      </w:r>
      <w:r w:rsidRPr="007723FE">
        <w:rPr>
          <w:b/>
        </w:rPr>
        <w:t xml:space="preserve">heck </w:t>
      </w:r>
      <w:r w:rsidR="00B663CC">
        <w:rPr>
          <w:b/>
        </w:rPr>
        <w:t>page</w:t>
      </w:r>
      <w:r w:rsidR="00A44650">
        <w:rPr>
          <w:b/>
        </w:rPr>
        <w:t xml:space="preserve"> &amp; </w:t>
      </w:r>
      <w:r w:rsidR="009413EB">
        <w:rPr>
          <w:b/>
        </w:rPr>
        <w:t>O</w:t>
      </w:r>
      <w:r w:rsidR="00A44650">
        <w:rPr>
          <w:b/>
        </w:rPr>
        <w:t xml:space="preserve">ther </w:t>
      </w:r>
      <w:r w:rsidR="009413EB">
        <w:rPr>
          <w:b/>
        </w:rPr>
        <w:t>A</w:t>
      </w:r>
      <w:r w:rsidR="00A44650">
        <w:rPr>
          <w:b/>
        </w:rPr>
        <w:t>dults page</w:t>
      </w:r>
    </w:p>
    <w:p w:rsidR="00EE5E6B" w:rsidRDefault="007723FE" w:rsidP="00F06275">
      <w:pPr>
        <w:pStyle w:val="ListParagraph"/>
        <w:numPr>
          <w:ilvl w:val="0"/>
          <w:numId w:val="8"/>
        </w:numPr>
      </w:pPr>
      <w:r>
        <w:t>Exemptions</w:t>
      </w:r>
      <w:r w:rsidR="00F53DD2">
        <w:t xml:space="preserve"> (element 10): </w:t>
      </w:r>
      <w:r w:rsidR="004A1D15">
        <w:t>u</w:t>
      </w:r>
      <w:r w:rsidR="00FD02E0">
        <w:t xml:space="preserve">nder background checks, add </w:t>
      </w:r>
      <w:r w:rsidR="004A1D15">
        <w:t xml:space="preserve">“type”, select exemption granted from dropdown and enter date.  If exemption denied, enter that. </w:t>
      </w:r>
    </w:p>
    <w:p w:rsidR="000976AA" w:rsidRDefault="00F53DD2" w:rsidP="00F06275">
      <w:pPr>
        <w:pStyle w:val="ListParagraph"/>
        <w:numPr>
          <w:ilvl w:val="0"/>
          <w:numId w:val="8"/>
        </w:numPr>
      </w:pPr>
      <w:r>
        <w:t>Other Adults (e</w:t>
      </w:r>
      <w:r w:rsidR="000976AA">
        <w:t>lement 1</w:t>
      </w:r>
      <w:r w:rsidR="00B663CC">
        <w:t>1</w:t>
      </w:r>
      <w:r>
        <w:t xml:space="preserve">): </w:t>
      </w:r>
      <w:r w:rsidR="000976AA">
        <w:t xml:space="preserve">use the other </w:t>
      </w:r>
      <w:proofErr w:type="gramStart"/>
      <w:r w:rsidR="000976AA">
        <w:t>adults</w:t>
      </w:r>
      <w:proofErr w:type="gramEnd"/>
      <w:r w:rsidR="000976AA">
        <w:t xml:space="preserve"> </w:t>
      </w:r>
      <w:r w:rsidR="00B663CC">
        <w:t xml:space="preserve">page </w:t>
      </w:r>
      <w:r w:rsidR="00980F27">
        <w:t>to add other adul</w:t>
      </w:r>
      <w:r w:rsidR="001E7D35">
        <w:t>ts who live in the home</w:t>
      </w:r>
      <w:r>
        <w:t xml:space="preserve"> or would have significant contact with the child. </w:t>
      </w:r>
    </w:p>
    <w:p w:rsidR="001C7220" w:rsidRDefault="00CE7E3E" w:rsidP="0009598A">
      <w:r>
        <w:rPr>
          <w:noProof/>
        </w:rPr>
        <w:drawing>
          <wp:inline distT="0" distB="0" distL="0" distR="0" wp14:anchorId="6AA149FA" wp14:editId="489FDB6E">
            <wp:extent cx="5940053" cy="3657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14" w:rsidRDefault="00557A14" w:rsidP="00557A14"/>
    <w:p w:rsidR="00557F85" w:rsidRDefault="00557F85" w:rsidP="00557A14"/>
    <w:p w:rsidR="00557F85" w:rsidRDefault="00557F85" w:rsidP="00557A14"/>
    <w:p w:rsidR="00F319B7" w:rsidRDefault="00F319B7" w:rsidP="00557A14"/>
    <w:p w:rsidR="00F319B7" w:rsidRDefault="00F319B7" w:rsidP="00557A14"/>
    <w:p w:rsidR="003E65FB" w:rsidRDefault="003E65FB" w:rsidP="00557A14"/>
    <w:p w:rsidR="00F319B7" w:rsidRDefault="00F319B7" w:rsidP="00557A14"/>
    <w:p w:rsidR="00B21747" w:rsidRDefault="00B21747" w:rsidP="00557A14"/>
    <w:p w:rsidR="00F06275" w:rsidRDefault="00F06275" w:rsidP="00B663CC">
      <w:pPr>
        <w:spacing w:after="0"/>
      </w:pPr>
    </w:p>
    <w:p w:rsidR="00F06275" w:rsidRDefault="00F06275" w:rsidP="00B663CC">
      <w:pPr>
        <w:spacing w:after="0"/>
      </w:pPr>
    </w:p>
    <w:p w:rsidR="00C86052" w:rsidRDefault="001E7D35" w:rsidP="00B663CC">
      <w:pPr>
        <w:spacing w:after="0"/>
        <w:rPr>
          <w:b/>
        </w:rPr>
      </w:pPr>
      <w:r>
        <w:rPr>
          <w:b/>
        </w:rPr>
        <w:t>County License Case Notebook</w:t>
      </w:r>
      <w:r w:rsidR="00F06275">
        <w:rPr>
          <w:b/>
        </w:rPr>
        <w:t>/</w:t>
      </w:r>
      <w:r w:rsidR="004D2878">
        <w:rPr>
          <w:b/>
        </w:rPr>
        <w:t>ID Page</w:t>
      </w:r>
    </w:p>
    <w:p w:rsidR="003131F0" w:rsidRPr="00343C84" w:rsidRDefault="003131F0" w:rsidP="00B663CC">
      <w:pPr>
        <w:spacing w:after="0"/>
        <w:rPr>
          <w:b/>
        </w:rPr>
      </w:pPr>
    </w:p>
    <w:p w:rsidR="00B663CC" w:rsidRDefault="00B663CC" w:rsidP="00F12189">
      <w:pPr>
        <w:pStyle w:val="ListParagraph"/>
        <w:numPr>
          <w:ilvl w:val="0"/>
          <w:numId w:val="4"/>
        </w:numPr>
        <w:spacing w:after="0"/>
      </w:pPr>
      <w:r>
        <w:t xml:space="preserve">Enter date </w:t>
      </w:r>
      <w:r w:rsidR="004D2878">
        <w:t xml:space="preserve">in </w:t>
      </w:r>
      <w:r>
        <w:t>“</w:t>
      </w:r>
      <w:r w:rsidR="009413EB">
        <w:t>A</w:t>
      </w:r>
      <w:r>
        <w:t xml:space="preserve">pplication </w:t>
      </w:r>
      <w:r w:rsidR="009413EB">
        <w:t>R</w:t>
      </w:r>
      <w:r>
        <w:t xml:space="preserve">eceived” field to identify when the </w:t>
      </w:r>
      <w:r w:rsidR="000F3A7A">
        <w:t>application was received or the relative placement process began</w:t>
      </w:r>
      <w:r>
        <w:t xml:space="preserve"> (element 1)</w:t>
      </w:r>
      <w:r w:rsidR="000860DF">
        <w:t>.</w:t>
      </w:r>
    </w:p>
    <w:p w:rsidR="001E7D35" w:rsidRDefault="00EE137A" w:rsidP="003131F0">
      <w:pPr>
        <w:spacing w:after="0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Enter the</w:t>
      </w:r>
      <w:r w:rsidR="00353B58">
        <w:rPr>
          <w:rFonts w:ascii="Calibri" w:eastAsia="Times New Roman" w:hAnsi="Calibri" w:cs="Times New Roman"/>
        </w:rPr>
        <w:t xml:space="preserve"> </w:t>
      </w:r>
      <w:r w:rsidR="001C3522">
        <w:rPr>
          <w:rFonts w:ascii="Calibri" w:eastAsia="Times New Roman" w:hAnsi="Calibri" w:cs="Times New Roman"/>
        </w:rPr>
        <w:t xml:space="preserve">unique </w:t>
      </w:r>
      <w:r w:rsidR="00353B58">
        <w:rPr>
          <w:rFonts w:ascii="Calibri" w:eastAsia="Times New Roman" w:hAnsi="Calibri" w:cs="Times New Roman"/>
        </w:rPr>
        <w:t xml:space="preserve">applicant/family ID </w:t>
      </w:r>
      <w:r w:rsidR="00D26949">
        <w:rPr>
          <w:rFonts w:ascii="Calibri" w:eastAsia="Times New Roman" w:hAnsi="Calibri" w:cs="Times New Roman"/>
        </w:rPr>
        <w:t>number.</w:t>
      </w:r>
      <w:r w:rsidR="0026230A">
        <w:rPr>
          <w:rFonts w:ascii="Calibri" w:eastAsia="Times New Roman" w:hAnsi="Calibri" w:cs="Times New Roman"/>
        </w:rPr>
        <w:t xml:space="preserve"> </w:t>
      </w:r>
      <w:r w:rsidR="0026230A" w:rsidRPr="0026230A">
        <w:rPr>
          <w:rFonts w:ascii="Calibri" w:eastAsia="Times New Roman" w:hAnsi="Calibri" w:cs="Times New Roman"/>
        </w:rPr>
        <w:t xml:space="preserve"> </w:t>
      </w:r>
      <w:r w:rsidR="0026230A" w:rsidRPr="00CF7F31">
        <w:rPr>
          <w:rFonts w:ascii="Calibri" w:eastAsia="Times New Roman" w:hAnsi="Calibri" w:cs="Times New Roman"/>
        </w:rPr>
        <w:t xml:space="preserve">Application assumed pending until license </w:t>
      </w:r>
      <w:r w:rsidR="0026230A">
        <w:rPr>
          <w:rFonts w:ascii="Calibri" w:eastAsia="Times New Roman" w:hAnsi="Calibri" w:cs="Times New Roman"/>
        </w:rPr>
        <w:t>status field is completed after approval.</w:t>
      </w:r>
      <w:r w:rsidR="003131F0">
        <w:rPr>
          <w:rFonts w:ascii="Calibri" w:eastAsia="Times New Roman" w:hAnsi="Calibri" w:cs="Times New Roman"/>
        </w:rPr>
        <w:t xml:space="preserve"> </w:t>
      </w:r>
    </w:p>
    <w:p w:rsidR="004D2878" w:rsidRPr="004D2878" w:rsidRDefault="004D2878" w:rsidP="004A092C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:rsidR="00D26162" w:rsidRDefault="00264D84" w:rsidP="00557F85">
      <w:pPr>
        <w:pStyle w:val="ListParagraph"/>
        <w:numPr>
          <w:ilvl w:val="0"/>
          <w:numId w:val="4"/>
        </w:numPr>
        <w:spacing w:after="0"/>
      </w:pPr>
      <w:r>
        <w:t xml:space="preserve">(a) </w:t>
      </w:r>
      <w:r w:rsidR="00B663CC">
        <w:t xml:space="preserve">When </w:t>
      </w:r>
      <w:r w:rsidR="004610F9" w:rsidRPr="009413EB">
        <w:t xml:space="preserve">the </w:t>
      </w:r>
      <w:r w:rsidR="00D26162">
        <w:t xml:space="preserve">applicant is </w:t>
      </w:r>
      <w:r w:rsidR="004610F9">
        <w:t xml:space="preserve">fully </w:t>
      </w:r>
      <w:r w:rsidR="00D26162">
        <w:t xml:space="preserve">approved </w:t>
      </w:r>
      <w:r w:rsidR="00B663CC">
        <w:t>–</w:t>
      </w:r>
    </w:p>
    <w:p w:rsidR="00B663CC" w:rsidRDefault="00B663CC" w:rsidP="00D26162">
      <w:pPr>
        <w:pStyle w:val="ListParagraph"/>
        <w:spacing w:after="0"/>
      </w:pPr>
      <w:r>
        <w:t xml:space="preserve"> </w:t>
      </w:r>
      <w:proofErr w:type="gramStart"/>
      <w:r>
        <w:t>under</w:t>
      </w:r>
      <w:proofErr w:type="gramEnd"/>
      <w:r>
        <w:t xml:space="preserve"> </w:t>
      </w:r>
      <w:r w:rsidRPr="00F12189">
        <w:rPr>
          <w:b/>
        </w:rPr>
        <w:t>Application Status</w:t>
      </w:r>
      <w:r>
        <w:t xml:space="preserve"> </w:t>
      </w:r>
      <w:r w:rsidR="00C93876">
        <w:t xml:space="preserve">and </w:t>
      </w:r>
      <w:r>
        <w:t>select “</w:t>
      </w:r>
      <w:r w:rsidR="009413EB">
        <w:t>A</w:t>
      </w:r>
      <w:r>
        <w:t xml:space="preserve">pplication </w:t>
      </w:r>
      <w:r w:rsidR="009413EB">
        <w:t>A</w:t>
      </w:r>
      <w:r>
        <w:t xml:space="preserve">pproved” and </w:t>
      </w:r>
      <w:r w:rsidR="00886CB1">
        <w:t xml:space="preserve"> under  </w:t>
      </w:r>
      <w:r w:rsidR="00886CB1">
        <w:rPr>
          <w:b/>
        </w:rPr>
        <w:t xml:space="preserve">License Status </w:t>
      </w:r>
      <w:r w:rsidR="00886CB1">
        <w:t>select “</w:t>
      </w:r>
      <w:r w:rsidR="009413EB">
        <w:t>P</w:t>
      </w:r>
      <w:r w:rsidR="00886CB1">
        <w:t xml:space="preserve">rovisional </w:t>
      </w:r>
      <w:r w:rsidR="009413EB">
        <w:t>L</w:t>
      </w:r>
      <w:r w:rsidR="001C3522">
        <w:t xml:space="preserve">icense” </w:t>
      </w:r>
      <w:r w:rsidR="00886CB1">
        <w:t xml:space="preserve">and </w:t>
      </w:r>
      <w:r>
        <w:t>enter the date (element 3)</w:t>
      </w:r>
      <w:r w:rsidR="00F12189">
        <w:t xml:space="preserve">.  </w:t>
      </w:r>
      <w:r w:rsidR="00C33F06">
        <w:t xml:space="preserve">See page 6 for emergency placements. </w:t>
      </w:r>
    </w:p>
    <w:p w:rsidR="00D26162" w:rsidRDefault="00886CB1" w:rsidP="004610F9">
      <w:pPr>
        <w:pStyle w:val="ListParagraph"/>
        <w:numPr>
          <w:ilvl w:val="0"/>
          <w:numId w:val="7"/>
        </w:numPr>
        <w:spacing w:after="0"/>
      </w:pPr>
      <w:r>
        <w:t>The annual visit due date will auto fill.</w:t>
      </w:r>
    </w:p>
    <w:p w:rsidR="00B663CC" w:rsidRDefault="009413EB" w:rsidP="00557F85">
      <w:pPr>
        <w:spacing w:after="0"/>
        <w:ind w:left="720"/>
      </w:pPr>
      <w:r>
        <w:t xml:space="preserve"> </w:t>
      </w:r>
      <w:r w:rsidR="00264D84">
        <w:t xml:space="preserve">(b) </w:t>
      </w:r>
      <w:r w:rsidR="00B663CC">
        <w:t xml:space="preserve">If application is withdrawn, or assessment ends in a denial, under </w:t>
      </w:r>
      <w:r w:rsidR="00B663CC" w:rsidRPr="00687681">
        <w:rPr>
          <w:b/>
        </w:rPr>
        <w:t>Application status</w:t>
      </w:r>
      <w:r w:rsidR="00B663CC">
        <w:t xml:space="preserve"> select “withdrawn” or “denied” from the dropdown menu (element 2).</w:t>
      </w:r>
      <w:r w:rsidR="00557F85">
        <w:t xml:space="preserve">  </w:t>
      </w:r>
    </w:p>
    <w:p w:rsidR="00B21747" w:rsidRPr="00CF2FBD" w:rsidRDefault="009413EB" w:rsidP="00CF2FBD">
      <w:pPr>
        <w:pStyle w:val="ListParagraph"/>
        <w:numPr>
          <w:ilvl w:val="0"/>
          <w:numId w:val="2"/>
        </w:numPr>
      </w:pPr>
      <w:r>
        <w:t xml:space="preserve">In the </w:t>
      </w:r>
      <w:r w:rsidR="00B663CC" w:rsidRPr="00382701">
        <w:rPr>
          <w:b/>
        </w:rPr>
        <w:t>Priority Information</w:t>
      </w:r>
      <w:r w:rsidR="00B663CC">
        <w:rPr>
          <w:b/>
        </w:rPr>
        <w:t xml:space="preserve"> </w:t>
      </w:r>
      <w:r w:rsidR="00B663CC">
        <w:t xml:space="preserve">text box write RFA denied (or withdrawn) </w:t>
      </w:r>
      <w:r w:rsidR="00CF2FBD">
        <w:t>and</w:t>
      </w:r>
      <w:r w:rsidR="00BD7606">
        <w:t xml:space="preserve"> the</w:t>
      </w:r>
      <w:r w:rsidR="00CF2FBD">
        <w:t xml:space="preserve"> reason</w:t>
      </w:r>
      <w:r w:rsidR="00BD7606">
        <w:t>.</w:t>
      </w:r>
      <w:r w:rsidR="00CF2FBD">
        <w:t xml:space="preserve"> </w:t>
      </w:r>
    </w:p>
    <w:p w:rsidR="00D26949" w:rsidRDefault="00225288" w:rsidP="000D3A75">
      <w:pPr>
        <w:spacing w:after="0"/>
        <w:rPr>
          <w:b/>
        </w:rPr>
      </w:pPr>
      <w:r>
        <w:rPr>
          <w:noProof/>
        </w:rPr>
        <w:drawing>
          <wp:inline distT="0" distB="0" distL="0" distR="0" wp14:anchorId="37B1DC1C" wp14:editId="3D55ED26">
            <wp:extent cx="5942473" cy="51625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5" w:rsidRDefault="000D3A75" w:rsidP="00BD7606">
      <w:pPr>
        <w:spacing w:after="0"/>
        <w:rPr>
          <w:b/>
        </w:rPr>
      </w:pPr>
      <w:r>
        <w:rPr>
          <w:b/>
        </w:rPr>
        <w:t>County License Case Notebook</w:t>
      </w:r>
      <w:r w:rsidR="00B871C7">
        <w:rPr>
          <w:b/>
        </w:rPr>
        <w:t>/</w:t>
      </w:r>
      <w:r>
        <w:rPr>
          <w:b/>
        </w:rPr>
        <w:t>ID Page</w:t>
      </w:r>
      <w:r w:rsidR="00B871C7">
        <w:rPr>
          <w:b/>
        </w:rPr>
        <w:t xml:space="preserve"> (cont’d)</w:t>
      </w:r>
    </w:p>
    <w:p w:rsidR="00BD7606" w:rsidRPr="00BD7606" w:rsidRDefault="00BD7606" w:rsidP="00BD7606">
      <w:pPr>
        <w:spacing w:after="0"/>
        <w:rPr>
          <w:b/>
        </w:rPr>
      </w:pPr>
    </w:p>
    <w:p w:rsidR="000F5B3B" w:rsidRDefault="00BD7606" w:rsidP="000F5B3B">
      <w:pPr>
        <w:pStyle w:val="ListParagraph"/>
        <w:numPr>
          <w:ilvl w:val="0"/>
          <w:numId w:val="4"/>
        </w:numPr>
      </w:pPr>
      <w:r>
        <w:t xml:space="preserve">(a) </w:t>
      </w:r>
      <w:r w:rsidR="00B871C7">
        <w:t xml:space="preserve">For </w:t>
      </w:r>
      <w:r w:rsidR="00C33F06">
        <w:rPr>
          <w:b/>
        </w:rPr>
        <w:t>E</w:t>
      </w:r>
      <w:r w:rsidR="00B871C7" w:rsidRPr="006E6049">
        <w:rPr>
          <w:b/>
        </w:rPr>
        <w:t xml:space="preserve">mergency </w:t>
      </w:r>
      <w:r w:rsidR="00C33F06">
        <w:rPr>
          <w:b/>
        </w:rPr>
        <w:t>P</w:t>
      </w:r>
      <w:r w:rsidR="00B871C7" w:rsidRPr="006E6049">
        <w:rPr>
          <w:b/>
        </w:rPr>
        <w:t>lacements</w:t>
      </w:r>
      <w:r w:rsidR="00B871C7">
        <w:t xml:space="preserve">: </w:t>
      </w:r>
      <w:r>
        <w:t xml:space="preserve">under </w:t>
      </w:r>
      <w:r w:rsidR="000F5B3B" w:rsidRPr="00F12189">
        <w:rPr>
          <w:b/>
        </w:rPr>
        <w:t>Application Status</w:t>
      </w:r>
      <w:r w:rsidR="000F5B3B">
        <w:t xml:space="preserve"> </w:t>
      </w:r>
      <w:r w:rsidR="00CE1B8B">
        <w:t>add</w:t>
      </w:r>
      <w:r w:rsidR="000F5B3B">
        <w:t xml:space="preserve"> </w:t>
      </w:r>
      <w:r w:rsidR="00CE1B8B">
        <w:t xml:space="preserve">row for </w:t>
      </w:r>
      <w:r w:rsidR="000F5B3B">
        <w:t>“</w:t>
      </w:r>
      <w:r w:rsidR="004A5970">
        <w:t>A</w:t>
      </w:r>
      <w:r w:rsidR="000F5B3B">
        <w:t xml:space="preserve">pplication </w:t>
      </w:r>
      <w:r w:rsidR="004A5970">
        <w:t>A</w:t>
      </w:r>
      <w:r w:rsidR="000F5B3B">
        <w:t>pproved”</w:t>
      </w:r>
      <w:r w:rsidR="00CE1B8B">
        <w:t xml:space="preserve"> </w:t>
      </w:r>
      <w:r w:rsidR="000F5B3B">
        <w:t>and date.</w:t>
      </w:r>
      <w:r w:rsidR="00CE1B8B">
        <w:t xml:space="preserve">  Under </w:t>
      </w:r>
      <w:r w:rsidR="00CE1B8B">
        <w:rPr>
          <w:b/>
        </w:rPr>
        <w:t xml:space="preserve">License Status </w:t>
      </w:r>
      <w:r w:rsidR="00CE1B8B">
        <w:t>and row for “</w:t>
      </w:r>
      <w:r w:rsidR="004A5970">
        <w:t>P</w:t>
      </w:r>
      <w:r w:rsidR="00CE1B8B">
        <w:t xml:space="preserve">robationary </w:t>
      </w:r>
      <w:r w:rsidR="004A5970">
        <w:t>L</w:t>
      </w:r>
      <w:r w:rsidR="00CE1B8B">
        <w:t>icense.”</w:t>
      </w:r>
    </w:p>
    <w:p w:rsidR="00121EA9" w:rsidRDefault="00BD7606" w:rsidP="00BD7606">
      <w:pPr>
        <w:pStyle w:val="ListParagraph"/>
      </w:pPr>
      <w:r>
        <w:t xml:space="preserve">(b) </w:t>
      </w:r>
      <w:r w:rsidR="002B17EC">
        <w:t>O</w:t>
      </w:r>
      <w:r w:rsidR="00121EA9">
        <w:t xml:space="preserve">nce the relative is fully </w:t>
      </w:r>
      <w:r w:rsidR="002B17EC">
        <w:t xml:space="preserve">approved under </w:t>
      </w:r>
      <w:r w:rsidR="002B17EC" w:rsidRPr="004A5970">
        <w:rPr>
          <w:b/>
        </w:rPr>
        <w:t>License</w:t>
      </w:r>
      <w:r>
        <w:rPr>
          <w:b/>
        </w:rPr>
        <w:t xml:space="preserve"> Status </w:t>
      </w:r>
      <w:r w:rsidR="00CE1B8B">
        <w:t>and a new row</w:t>
      </w:r>
      <w:r w:rsidR="00121EA9">
        <w:t xml:space="preserve"> </w:t>
      </w:r>
      <w:r w:rsidR="00CE1B8B">
        <w:t>to change license status to “</w:t>
      </w:r>
      <w:r w:rsidR="004A5970">
        <w:t>P</w:t>
      </w:r>
      <w:r w:rsidR="00CE1B8B">
        <w:t>rovisional</w:t>
      </w:r>
      <w:r w:rsidR="00AF4EBC">
        <w:t xml:space="preserve"> License</w:t>
      </w:r>
      <w:r w:rsidR="00CE1B8B">
        <w:t xml:space="preserve">” and date.  </w:t>
      </w:r>
    </w:p>
    <w:p w:rsidR="00CE1B8B" w:rsidRDefault="00CE1B8B" w:rsidP="00CE1B8B">
      <w:pPr>
        <w:pStyle w:val="ListParagraph"/>
        <w:numPr>
          <w:ilvl w:val="0"/>
          <w:numId w:val="12"/>
        </w:numPr>
      </w:pPr>
      <w:r>
        <w:t xml:space="preserve">The annual visit date will auto-fill based on full approval date. </w:t>
      </w:r>
    </w:p>
    <w:p w:rsidR="006E6049" w:rsidRPr="006E6049" w:rsidRDefault="006E6049" w:rsidP="006E6049">
      <w:pPr>
        <w:ind w:left="720"/>
        <w:rPr>
          <w:sz w:val="20"/>
          <w:szCs w:val="20"/>
        </w:rPr>
      </w:pPr>
      <w:r>
        <w:t xml:space="preserve">(c) If the assessment exceeds the </w:t>
      </w:r>
      <w:r w:rsidR="004A5970">
        <w:t>90-day</w:t>
      </w:r>
      <w:r>
        <w:t xml:space="preserve"> time frame under the </w:t>
      </w:r>
      <w:r w:rsidR="004A5970" w:rsidRPr="004A5970">
        <w:rPr>
          <w:b/>
        </w:rPr>
        <w:t>P</w:t>
      </w:r>
      <w:r w:rsidRPr="004A5970">
        <w:rPr>
          <w:b/>
        </w:rPr>
        <w:t xml:space="preserve">riority </w:t>
      </w:r>
      <w:r w:rsidR="004A5970" w:rsidRPr="004A5970">
        <w:rPr>
          <w:b/>
        </w:rPr>
        <w:t>I</w:t>
      </w:r>
      <w:r w:rsidRPr="004A5970">
        <w:rPr>
          <w:b/>
        </w:rPr>
        <w:t>nformation</w:t>
      </w:r>
      <w:r>
        <w:t xml:space="preserve"> text box briefly document the reason it was not completed on time </w:t>
      </w:r>
      <w:r w:rsidRPr="006E6049">
        <w:rPr>
          <w:sz w:val="20"/>
          <w:szCs w:val="20"/>
        </w:rPr>
        <w:t xml:space="preserve">(e.g. relative cancelled two meetings). </w:t>
      </w:r>
    </w:p>
    <w:p w:rsidR="00121EA9" w:rsidRDefault="00121EA9" w:rsidP="00121EA9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Regarding the identification of relative homes</w:t>
      </w:r>
      <w:r>
        <w:rPr>
          <w:rFonts w:ascii="Calibri" w:eastAsia="Times New Roman" w:hAnsi="Calibri" w:cs="Times New Roman"/>
        </w:rPr>
        <w:t xml:space="preserve"> (element 16):  </w:t>
      </w:r>
      <w:r w:rsidR="000F3A7A">
        <w:t>CDSS</w:t>
      </w:r>
      <w:r>
        <w:t xml:space="preserve"> and </w:t>
      </w:r>
      <w:r w:rsidR="001B2DEC">
        <w:t>the California Child Welfare Indicators Project (</w:t>
      </w:r>
      <w:r w:rsidR="000F3A7A">
        <w:t xml:space="preserve">UC </w:t>
      </w:r>
      <w:r w:rsidR="004A5970">
        <w:t>Berkeley</w:t>
      </w:r>
      <w:r w:rsidR="001B2DEC">
        <w:t xml:space="preserve"> </w:t>
      </w:r>
      <w:r w:rsidR="004D5ACE">
        <w:t>dynamic data website)</w:t>
      </w:r>
      <w:r>
        <w:t xml:space="preserve"> will identify relative </w:t>
      </w:r>
      <w:r w:rsidR="000F3A7A">
        <w:t>Resource Family placements</w:t>
      </w:r>
      <w:r>
        <w:t xml:space="preserve"> by using the “care </w:t>
      </w:r>
      <w:r w:rsidR="002B17EC">
        <w:t>provider relationship to child</w:t>
      </w:r>
      <w:proofErr w:type="gramStart"/>
      <w:r w:rsidR="002B17EC">
        <w:t xml:space="preserve">“ </w:t>
      </w:r>
      <w:r>
        <w:t>field</w:t>
      </w:r>
      <w:proofErr w:type="gramEnd"/>
      <w:r>
        <w:t xml:space="preserve"> along with the RFA special project code.</w:t>
      </w:r>
    </w:p>
    <w:p w:rsidR="000D3A75" w:rsidRDefault="000D3A75" w:rsidP="00B42956">
      <w:pPr>
        <w:spacing w:after="0"/>
        <w:rPr>
          <w:b/>
        </w:rPr>
      </w:pPr>
    </w:p>
    <w:p w:rsidR="003E5090" w:rsidRDefault="00D26949" w:rsidP="00B4295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4778F84" wp14:editId="5185D9D1">
            <wp:extent cx="5943600" cy="495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C" w:rsidRDefault="001B2DEC" w:rsidP="00B42956">
      <w:pPr>
        <w:spacing w:after="0"/>
        <w:rPr>
          <w:b/>
        </w:rPr>
      </w:pPr>
    </w:p>
    <w:p w:rsidR="001B2DEC" w:rsidRDefault="001B2DEC" w:rsidP="00B42956">
      <w:pPr>
        <w:spacing w:after="0"/>
        <w:rPr>
          <w:b/>
        </w:rPr>
      </w:pPr>
    </w:p>
    <w:p w:rsidR="00B42956" w:rsidRPr="00B871C7" w:rsidRDefault="00B42956" w:rsidP="00B42956">
      <w:pPr>
        <w:spacing w:after="0"/>
        <w:rPr>
          <w:b/>
        </w:rPr>
      </w:pPr>
      <w:r>
        <w:rPr>
          <w:b/>
        </w:rPr>
        <w:t>County License Case Notebook</w:t>
      </w:r>
      <w:r w:rsidR="00B871C7">
        <w:rPr>
          <w:b/>
        </w:rPr>
        <w:t>/</w:t>
      </w:r>
      <w:r>
        <w:rPr>
          <w:b/>
        </w:rPr>
        <w:t>ID page</w:t>
      </w:r>
    </w:p>
    <w:p w:rsidR="00B663CC" w:rsidRDefault="00B663CC" w:rsidP="00B663CC">
      <w:r>
        <w:t xml:space="preserve">For </w:t>
      </w:r>
      <w:r w:rsidR="00AF4EBC">
        <w:t xml:space="preserve">the </w:t>
      </w:r>
      <w:r>
        <w:t>annual update (elements 4&amp;5)</w:t>
      </w:r>
    </w:p>
    <w:p w:rsidR="002856F8" w:rsidRDefault="00B663CC" w:rsidP="00AF4EBC">
      <w:pPr>
        <w:pStyle w:val="ListParagraph"/>
        <w:numPr>
          <w:ilvl w:val="0"/>
          <w:numId w:val="3"/>
        </w:numPr>
      </w:pPr>
      <w:r>
        <w:t>Enter date in “Annual Visit Completed” box</w:t>
      </w:r>
      <w:r w:rsidR="00C8424C">
        <w:t xml:space="preserve">. </w:t>
      </w:r>
      <w:r w:rsidR="002856F8">
        <w:t xml:space="preserve"> </w:t>
      </w:r>
      <w:r w:rsidR="002B17EC">
        <w:t xml:space="preserve"> Annual update process should be completed </w:t>
      </w:r>
      <w:r w:rsidR="00AF4EBC">
        <w:t>no later than</w:t>
      </w:r>
      <w:r w:rsidR="002B17EC">
        <w:t xml:space="preserve"> 30 days of the due date.  </w:t>
      </w:r>
      <w:r w:rsidR="00AB5619">
        <w:t>Once completed</w:t>
      </w:r>
      <w:r w:rsidR="002B17EC">
        <w:t>,</w:t>
      </w:r>
      <w:r w:rsidR="00AB5619">
        <w:t xml:space="preserve"> enter the date (this will auto fill the next annual due date).  Under </w:t>
      </w:r>
      <w:r w:rsidR="00AB5619">
        <w:rPr>
          <w:b/>
        </w:rPr>
        <w:t>L</w:t>
      </w:r>
      <w:r w:rsidR="00AB5619" w:rsidRPr="00AB5619">
        <w:rPr>
          <w:b/>
        </w:rPr>
        <w:t xml:space="preserve">icense </w:t>
      </w:r>
      <w:r w:rsidR="00AB5619">
        <w:rPr>
          <w:b/>
        </w:rPr>
        <w:t>S</w:t>
      </w:r>
      <w:r w:rsidR="00AB5619" w:rsidRPr="00AB5619">
        <w:rPr>
          <w:b/>
        </w:rPr>
        <w:t>tatus</w:t>
      </w:r>
      <w:r w:rsidR="00AB5619">
        <w:t>:</w:t>
      </w:r>
    </w:p>
    <w:p w:rsidR="00B663CC" w:rsidRDefault="001B2DEC" w:rsidP="00687E38">
      <w:pPr>
        <w:pStyle w:val="ListParagraph"/>
        <w:numPr>
          <w:ilvl w:val="1"/>
          <w:numId w:val="1"/>
        </w:numPr>
      </w:pPr>
      <w:r>
        <w:t>I</w:t>
      </w:r>
      <w:r w:rsidR="004D5ACE">
        <w:t>f no changes in the RFH status</w:t>
      </w:r>
      <w:r>
        <w:t xml:space="preserve"> -</w:t>
      </w:r>
      <w:r w:rsidR="004D5ACE">
        <w:t xml:space="preserve"> </w:t>
      </w:r>
      <w:r w:rsidR="00687E38">
        <w:t>nothing further needs to be done</w:t>
      </w:r>
      <w:r w:rsidR="004D5ACE">
        <w:t>.</w:t>
      </w:r>
    </w:p>
    <w:p w:rsidR="00B663CC" w:rsidRDefault="001B2DEC" w:rsidP="00B663CC">
      <w:pPr>
        <w:pStyle w:val="ListParagraph"/>
        <w:numPr>
          <w:ilvl w:val="1"/>
          <w:numId w:val="1"/>
        </w:numPr>
      </w:pPr>
      <w:r>
        <w:t>I</w:t>
      </w:r>
      <w:r w:rsidR="00B663CC">
        <w:t>f family decides they do not want to continue</w:t>
      </w:r>
      <w:r w:rsidR="005D7477">
        <w:t xml:space="preserve"> to be a RF</w:t>
      </w:r>
      <w:r w:rsidR="004D5ACE">
        <w:t xml:space="preserve"> -</w:t>
      </w:r>
      <w:r w:rsidR="004D5ACE" w:rsidRPr="004D5ACE">
        <w:t xml:space="preserve"> </w:t>
      </w:r>
      <w:r w:rsidR="004D5ACE">
        <w:t>add row for “Licensee Initiated Closure”</w:t>
      </w:r>
      <w:r>
        <w:t xml:space="preserve"> and date.</w:t>
      </w:r>
    </w:p>
    <w:p w:rsidR="00B663CC" w:rsidRDefault="001B2DEC" w:rsidP="00B663CC">
      <w:pPr>
        <w:pStyle w:val="ListParagraph"/>
        <w:numPr>
          <w:ilvl w:val="1"/>
          <w:numId w:val="1"/>
        </w:numPr>
      </w:pPr>
      <w:r>
        <w:t>I</w:t>
      </w:r>
      <w:r w:rsidR="004D5ACE">
        <w:t>f approval is being rescinded</w:t>
      </w:r>
      <w:r w:rsidR="004D5ACE">
        <w:t xml:space="preserve"> </w:t>
      </w:r>
      <w:r w:rsidR="004D5ACE">
        <w:t xml:space="preserve">- </w:t>
      </w:r>
      <w:r>
        <w:t>add row</w:t>
      </w:r>
      <w:r w:rsidR="00AF4EBC">
        <w:t xml:space="preserve"> for </w:t>
      </w:r>
      <w:r w:rsidR="005D7477">
        <w:t>“</w:t>
      </w:r>
      <w:r w:rsidR="00B663CC">
        <w:t>Unlicensed</w:t>
      </w:r>
      <w:r w:rsidR="004D5ACE">
        <w:t xml:space="preserve">” </w:t>
      </w:r>
      <w:r>
        <w:t>and date.</w:t>
      </w:r>
    </w:p>
    <w:p w:rsidR="00670C71" w:rsidRDefault="00B663CC" w:rsidP="00AF4EBC">
      <w:pPr>
        <w:ind w:left="1440"/>
      </w:pPr>
      <w:r>
        <w:t xml:space="preserve">Note: </w:t>
      </w:r>
      <w:r w:rsidR="00916372">
        <w:t>Only a county administrator has the privileged to used “</w:t>
      </w:r>
      <w:r>
        <w:t>Revoked</w:t>
      </w:r>
      <w:r w:rsidR="00916372">
        <w:t xml:space="preserve">” status.  </w:t>
      </w:r>
      <w:r>
        <w:t xml:space="preserve">If you have this privilege still select </w:t>
      </w:r>
      <w:r w:rsidR="00916372">
        <w:t>“U</w:t>
      </w:r>
      <w:r>
        <w:t>nlicensed</w:t>
      </w:r>
      <w:r w:rsidR="00916372">
        <w:t>”</w:t>
      </w:r>
      <w:r>
        <w:t xml:space="preserve"> as we need consistent data. </w:t>
      </w:r>
    </w:p>
    <w:p w:rsidR="009413EB" w:rsidRPr="007F2623" w:rsidRDefault="009413EB" w:rsidP="00AF4EBC">
      <w:pPr>
        <w:spacing w:after="0"/>
      </w:pPr>
      <w:r>
        <w:t>Note: if the annual visit is past the due date, once completed the date auto fills based on the original da</w:t>
      </w:r>
      <w:r w:rsidR="00AF4EBC">
        <w:t>te of approval (</w:t>
      </w:r>
      <w:proofErr w:type="spellStart"/>
      <w:r w:rsidR="00AF4EBC">
        <w:t>e.g</w:t>
      </w:r>
      <w:proofErr w:type="spellEnd"/>
      <w:r w:rsidR="00AF4EBC">
        <w:t xml:space="preserve"> a due date </w:t>
      </w:r>
      <w:r>
        <w:t>of Jan 1, 2012 that it is completed on Feb 1, 2012 will have a next due date of Jan 1, 2013).</w:t>
      </w:r>
    </w:p>
    <w:p w:rsidR="00AF4EBC" w:rsidRDefault="007F2623" w:rsidP="00AF4EBC">
      <w:pPr>
        <w:tabs>
          <w:tab w:val="left" w:pos="1275"/>
        </w:tabs>
      </w:pPr>
      <w:r>
        <w:rPr>
          <w:noProof/>
        </w:rPr>
        <w:drawing>
          <wp:inline distT="0" distB="0" distL="0" distR="0" wp14:anchorId="62DCFE41" wp14:editId="531301A4">
            <wp:extent cx="5943600" cy="5048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71" w:rsidRPr="00B871C7" w:rsidRDefault="00670C71" w:rsidP="00AF4EBC">
      <w:pPr>
        <w:tabs>
          <w:tab w:val="left" w:pos="1275"/>
        </w:tabs>
      </w:pPr>
      <w:r>
        <w:rPr>
          <w:b/>
        </w:rPr>
        <w:t xml:space="preserve">County </w:t>
      </w:r>
      <w:r w:rsidR="00916372">
        <w:rPr>
          <w:b/>
        </w:rPr>
        <w:t>L</w:t>
      </w:r>
      <w:r>
        <w:rPr>
          <w:b/>
        </w:rPr>
        <w:t xml:space="preserve">icense </w:t>
      </w:r>
      <w:r w:rsidR="00916372">
        <w:rPr>
          <w:b/>
        </w:rPr>
        <w:t>C</w:t>
      </w:r>
      <w:r>
        <w:rPr>
          <w:b/>
        </w:rPr>
        <w:t>ase notebook</w:t>
      </w:r>
      <w:r w:rsidR="00B871C7">
        <w:t>/</w:t>
      </w:r>
      <w:r w:rsidR="0018473D">
        <w:rPr>
          <w:b/>
        </w:rPr>
        <w:t>Issues page</w:t>
      </w:r>
    </w:p>
    <w:p w:rsidR="00670C71" w:rsidRDefault="00670C71" w:rsidP="00670C71">
      <w:r>
        <w:t>Element 15 – Complaints/</w:t>
      </w:r>
      <w:r w:rsidR="00916372">
        <w:t>F</w:t>
      </w:r>
      <w:r>
        <w:t xml:space="preserve">air </w:t>
      </w:r>
      <w:r w:rsidR="00916372">
        <w:t>H</w:t>
      </w:r>
      <w:r>
        <w:t>earings</w:t>
      </w:r>
    </w:p>
    <w:p w:rsidR="00670C71" w:rsidRDefault="00670C71" w:rsidP="009B1D42">
      <w:pPr>
        <w:pStyle w:val="ListParagraph"/>
        <w:numPr>
          <w:ilvl w:val="0"/>
          <w:numId w:val="11"/>
        </w:numPr>
      </w:pPr>
      <w:r>
        <w:t>For</w:t>
      </w:r>
      <w:r w:rsidR="00916372">
        <w:t xml:space="preserve"> a</w:t>
      </w:r>
      <w:r>
        <w:t xml:space="preserve"> </w:t>
      </w:r>
      <w:r w:rsidR="00916372">
        <w:t>F</w:t>
      </w:r>
      <w:r>
        <w:t xml:space="preserve">air </w:t>
      </w:r>
      <w:r w:rsidR="00916372">
        <w:t>Hearin</w:t>
      </w:r>
      <w:r w:rsidR="009B1D42">
        <w:t>g</w:t>
      </w:r>
      <w:r>
        <w:t xml:space="preserve"> - under “category”– click incident; enter the date of the fair hearing</w:t>
      </w:r>
      <w:proofErr w:type="gramStart"/>
      <w:r>
        <w:t>;</w:t>
      </w:r>
      <w:r w:rsidR="009B1D42">
        <w:t xml:space="preserve"> </w:t>
      </w:r>
      <w:r>
        <w:t xml:space="preserve"> for</w:t>
      </w:r>
      <w:proofErr w:type="gramEnd"/>
      <w:r>
        <w:t xml:space="preserve"> “Issue Type” select </w:t>
      </w:r>
      <w:r w:rsidR="00916372">
        <w:t>“O</w:t>
      </w:r>
      <w:r>
        <w:t>ther</w:t>
      </w:r>
      <w:r w:rsidR="00916372">
        <w:t>”</w:t>
      </w:r>
      <w:r w:rsidR="00780B40">
        <w:t>; use</w:t>
      </w:r>
      <w:r>
        <w:t xml:space="preserve"> the </w:t>
      </w:r>
      <w:r w:rsidR="00916372">
        <w:t>I</w:t>
      </w:r>
      <w:r>
        <w:t xml:space="preserve">ssue </w:t>
      </w:r>
      <w:r w:rsidR="00916372">
        <w:t>N</w:t>
      </w:r>
      <w:r>
        <w:t xml:space="preserve">otes box – write “fair hearing complaint” or “fair hearing denial”.  After the hearing, write in the outcome – “affirm” or “reverse” and date.     </w:t>
      </w:r>
    </w:p>
    <w:p w:rsidR="0018473D" w:rsidRDefault="0018473D" w:rsidP="00B871C7">
      <w:pPr>
        <w:pStyle w:val="ListParagraph"/>
        <w:numPr>
          <w:ilvl w:val="0"/>
          <w:numId w:val="11"/>
        </w:numPr>
      </w:pPr>
      <w:r>
        <w:t xml:space="preserve">For </w:t>
      </w:r>
      <w:r w:rsidR="00916372">
        <w:t xml:space="preserve">a </w:t>
      </w:r>
      <w:r>
        <w:t xml:space="preserve">complaint – click </w:t>
      </w:r>
      <w:r w:rsidR="00916372">
        <w:t>“C</w:t>
      </w:r>
      <w:r>
        <w:t>omplaint</w:t>
      </w:r>
      <w:r w:rsidR="00916372">
        <w:t>”</w:t>
      </w:r>
      <w:proofErr w:type="gramStart"/>
      <w:r>
        <w:t>,</w:t>
      </w:r>
      <w:proofErr w:type="gramEnd"/>
      <w:r>
        <w:t xml:space="preserve"> enter date</w:t>
      </w:r>
      <w:r w:rsidR="006C1066">
        <w:t xml:space="preserve">, </w:t>
      </w:r>
      <w:r w:rsidR="00916372">
        <w:t>I</w:t>
      </w:r>
      <w:r w:rsidR="006C1066">
        <w:t>ssue</w:t>
      </w:r>
      <w:r>
        <w:t xml:space="preserve"> </w:t>
      </w:r>
      <w:r w:rsidR="00916372">
        <w:t>T</w:t>
      </w:r>
      <w:r>
        <w:t xml:space="preserve">ype and </w:t>
      </w:r>
      <w:r w:rsidR="00916372">
        <w:t>C</w:t>
      </w:r>
      <w:r>
        <w:t xml:space="preserve">omplaint </w:t>
      </w:r>
      <w:r w:rsidR="00916372">
        <w:t>F</w:t>
      </w:r>
      <w:r>
        <w:t xml:space="preserve">inding.  </w:t>
      </w:r>
    </w:p>
    <w:p w:rsidR="00670C71" w:rsidRDefault="00670C71" w:rsidP="0009598A">
      <w:pPr>
        <w:tabs>
          <w:tab w:val="left" w:pos="1125"/>
        </w:tabs>
        <w:rPr>
          <w:b/>
        </w:rPr>
      </w:pPr>
      <w:r>
        <w:rPr>
          <w:noProof/>
        </w:rPr>
        <w:drawing>
          <wp:inline distT="0" distB="0" distL="0" distR="0" wp14:anchorId="1B32DE5A" wp14:editId="0988DA25">
            <wp:extent cx="5943600" cy="3621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71" w:rsidRDefault="00670C71" w:rsidP="0009598A">
      <w:pPr>
        <w:tabs>
          <w:tab w:val="left" w:pos="1125"/>
        </w:tabs>
        <w:rPr>
          <w:b/>
        </w:rPr>
      </w:pPr>
    </w:p>
    <w:p w:rsidR="00670C71" w:rsidRDefault="00670C71" w:rsidP="0009598A">
      <w:pPr>
        <w:tabs>
          <w:tab w:val="left" w:pos="1125"/>
        </w:tabs>
        <w:rPr>
          <w:b/>
        </w:rPr>
      </w:pPr>
    </w:p>
    <w:p w:rsidR="00670C71" w:rsidRDefault="00670C71" w:rsidP="0009598A">
      <w:pPr>
        <w:tabs>
          <w:tab w:val="left" w:pos="1125"/>
        </w:tabs>
        <w:rPr>
          <w:b/>
        </w:rPr>
      </w:pPr>
    </w:p>
    <w:p w:rsidR="00670C71" w:rsidRDefault="00670C71" w:rsidP="0009598A">
      <w:pPr>
        <w:tabs>
          <w:tab w:val="left" w:pos="1125"/>
        </w:tabs>
        <w:rPr>
          <w:b/>
        </w:rPr>
      </w:pPr>
    </w:p>
    <w:p w:rsidR="00CE7E3E" w:rsidRDefault="00CE7E3E" w:rsidP="0009598A">
      <w:pPr>
        <w:tabs>
          <w:tab w:val="left" w:pos="1125"/>
        </w:tabs>
        <w:rPr>
          <w:b/>
        </w:rPr>
      </w:pPr>
    </w:p>
    <w:p w:rsidR="00431A06" w:rsidRDefault="00431A06" w:rsidP="0009598A">
      <w:pPr>
        <w:tabs>
          <w:tab w:val="left" w:pos="1125"/>
        </w:tabs>
        <w:rPr>
          <w:b/>
        </w:rPr>
      </w:pPr>
    </w:p>
    <w:p w:rsidR="00DF6AEB" w:rsidRDefault="00DF6AEB" w:rsidP="0009598A">
      <w:pPr>
        <w:tabs>
          <w:tab w:val="left" w:pos="1125"/>
        </w:tabs>
        <w:rPr>
          <w:b/>
        </w:rPr>
      </w:pPr>
    </w:p>
    <w:p w:rsidR="00B42956" w:rsidRDefault="00B42956" w:rsidP="0009598A">
      <w:pPr>
        <w:tabs>
          <w:tab w:val="left" w:pos="1125"/>
        </w:tabs>
        <w:rPr>
          <w:b/>
        </w:rPr>
      </w:pPr>
    </w:p>
    <w:p w:rsidR="00B871C7" w:rsidRDefault="00B871C7" w:rsidP="0009598A">
      <w:pPr>
        <w:tabs>
          <w:tab w:val="left" w:pos="1125"/>
        </w:tabs>
        <w:rPr>
          <w:b/>
        </w:rPr>
      </w:pPr>
    </w:p>
    <w:p w:rsidR="00B42956" w:rsidRDefault="00B42956" w:rsidP="0009598A">
      <w:pPr>
        <w:tabs>
          <w:tab w:val="left" w:pos="1125"/>
        </w:tabs>
        <w:rPr>
          <w:b/>
        </w:rPr>
      </w:pPr>
      <w:r w:rsidRPr="00CF7F31">
        <w:rPr>
          <w:b/>
        </w:rPr>
        <w:t>CLIENT SERVICES</w:t>
      </w:r>
      <w:r>
        <w:rPr>
          <w:b/>
        </w:rPr>
        <w:t xml:space="preserve"> APPLICATION </w:t>
      </w:r>
    </w:p>
    <w:p w:rsidR="004A1D15" w:rsidRPr="00CF7F31" w:rsidRDefault="00B42956" w:rsidP="0009598A">
      <w:pPr>
        <w:tabs>
          <w:tab w:val="left" w:pos="1125"/>
        </w:tabs>
        <w:rPr>
          <w:b/>
        </w:rPr>
      </w:pPr>
      <w:r>
        <w:rPr>
          <w:b/>
        </w:rPr>
        <w:t>P</w:t>
      </w:r>
      <w:r w:rsidR="000D47C5" w:rsidRPr="00CF7F31">
        <w:rPr>
          <w:b/>
        </w:rPr>
        <w:t>lacement/</w:t>
      </w:r>
      <w:r w:rsidR="00A97AED">
        <w:rPr>
          <w:b/>
        </w:rPr>
        <w:t xml:space="preserve">ID page </w:t>
      </w:r>
    </w:p>
    <w:p w:rsidR="00017179" w:rsidRDefault="00017179" w:rsidP="002B17EC">
      <w:pPr>
        <w:pStyle w:val="ListParagraph"/>
        <w:numPr>
          <w:ilvl w:val="0"/>
          <w:numId w:val="13"/>
        </w:numPr>
        <w:tabs>
          <w:tab w:val="left" w:pos="1125"/>
        </w:tabs>
      </w:pPr>
      <w:r>
        <w:t>Complete</w:t>
      </w:r>
      <w:r w:rsidR="00A97AED">
        <w:t xml:space="preserve"> necessary information to create a new placement.</w:t>
      </w:r>
    </w:p>
    <w:p w:rsidR="00CF7F31" w:rsidRDefault="00A97AED" w:rsidP="0009598A">
      <w:pPr>
        <w:tabs>
          <w:tab w:val="left" w:pos="1125"/>
        </w:tabs>
      </w:pPr>
      <w:r>
        <w:t>For data e</w:t>
      </w:r>
      <w:r w:rsidR="00CF7F31">
        <w:t xml:space="preserve">lements </w:t>
      </w:r>
      <w:r w:rsidR="00017179">
        <w:t>12</w:t>
      </w:r>
      <w:r w:rsidR="00CF7F31">
        <w:t>-</w:t>
      </w:r>
      <w:r w:rsidR="00DF6AEB">
        <w:t xml:space="preserve">14 </w:t>
      </w:r>
      <w:r>
        <w:t>(</w:t>
      </w:r>
      <w:r w:rsidR="00CF7F31">
        <w:t xml:space="preserve">information regarding children placed in </w:t>
      </w:r>
      <w:r w:rsidR="00E7763B">
        <w:t>with a Resource Family</w:t>
      </w:r>
      <w:r>
        <w:t>)</w:t>
      </w:r>
      <w:r w:rsidR="002B17EC">
        <w:t>:</w:t>
      </w:r>
    </w:p>
    <w:p w:rsidR="00DA7CF8" w:rsidRDefault="00CF7F31" w:rsidP="002B17EC">
      <w:pPr>
        <w:pStyle w:val="ListParagraph"/>
        <w:numPr>
          <w:ilvl w:val="0"/>
          <w:numId w:val="13"/>
        </w:numPr>
        <w:tabs>
          <w:tab w:val="left" w:pos="1125"/>
        </w:tabs>
      </w:pPr>
      <w:r>
        <w:t xml:space="preserve">Enter </w:t>
      </w:r>
      <w:r w:rsidR="00C56559">
        <w:t>start date</w:t>
      </w:r>
      <w:r w:rsidR="00A97AED">
        <w:t xml:space="preserve"> (element 12</w:t>
      </w:r>
      <w:r w:rsidR="00DA7CF8">
        <w:t>)</w:t>
      </w:r>
      <w:r w:rsidR="00C56559">
        <w:t xml:space="preserve">; </w:t>
      </w:r>
    </w:p>
    <w:p w:rsidR="00CF7F31" w:rsidRDefault="00DA7CF8" w:rsidP="002B17EC">
      <w:pPr>
        <w:pStyle w:val="ListParagraph"/>
        <w:numPr>
          <w:ilvl w:val="0"/>
          <w:numId w:val="13"/>
        </w:numPr>
        <w:tabs>
          <w:tab w:val="left" w:pos="1125"/>
        </w:tabs>
      </w:pPr>
      <w:r>
        <w:t xml:space="preserve">Enter </w:t>
      </w:r>
      <w:r w:rsidR="00F55E81" w:rsidRPr="00F55E81">
        <w:rPr>
          <w:b/>
          <w:u w:val="single"/>
        </w:rPr>
        <w:t>C</w:t>
      </w:r>
      <w:r w:rsidR="00C56559" w:rsidRPr="00F55E81">
        <w:rPr>
          <w:b/>
          <w:u w:val="single"/>
        </w:rPr>
        <w:t xml:space="preserve">are </w:t>
      </w:r>
      <w:r w:rsidR="00F55E81" w:rsidRPr="00F55E81">
        <w:rPr>
          <w:b/>
          <w:u w:val="single"/>
        </w:rPr>
        <w:t>P</w:t>
      </w:r>
      <w:r w:rsidR="00C56559" w:rsidRPr="00F55E81">
        <w:rPr>
          <w:b/>
          <w:u w:val="single"/>
        </w:rPr>
        <w:t xml:space="preserve">rovider </w:t>
      </w:r>
      <w:r w:rsidR="00F55E81" w:rsidRPr="00F55E81">
        <w:rPr>
          <w:b/>
          <w:u w:val="single"/>
        </w:rPr>
        <w:t>R</w:t>
      </w:r>
      <w:r w:rsidR="00C56559" w:rsidRPr="00F55E81">
        <w:rPr>
          <w:b/>
          <w:u w:val="single"/>
        </w:rPr>
        <w:t xml:space="preserve">elationship to </w:t>
      </w:r>
      <w:r w:rsidR="00F55E81" w:rsidRPr="00F55E81">
        <w:rPr>
          <w:b/>
          <w:u w:val="single"/>
        </w:rPr>
        <w:t>C</w:t>
      </w:r>
      <w:r w:rsidR="00C56559" w:rsidRPr="00F55E81">
        <w:rPr>
          <w:b/>
          <w:u w:val="single"/>
        </w:rPr>
        <w:t>hild</w:t>
      </w:r>
      <w:r>
        <w:t xml:space="preserve"> (element 13); </w:t>
      </w:r>
      <w:r w:rsidR="00C56559">
        <w:t xml:space="preserve"> </w:t>
      </w:r>
      <w:r w:rsidR="00F55E81">
        <w:t>This field is vital for identifying relatives</w:t>
      </w:r>
      <w:r w:rsidR="00C56559">
        <w:t xml:space="preserve"> </w:t>
      </w:r>
      <w:r w:rsidR="00E155E0" w:rsidRPr="002B17EC">
        <w:rPr>
          <w:u w:val="single"/>
        </w:rPr>
        <w:t xml:space="preserve"> </w:t>
      </w:r>
      <w:r w:rsidR="000976AA">
        <w:t xml:space="preserve"> </w:t>
      </w:r>
    </w:p>
    <w:p w:rsidR="00DF6AEB" w:rsidRDefault="00B075ED" w:rsidP="002B17EC">
      <w:pPr>
        <w:pStyle w:val="ListParagraph"/>
        <w:numPr>
          <w:ilvl w:val="0"/>
          <w:numId w:val="13"/>
        </w:numPr>
        <w:tabs>
          <w:tab w:val="left" w:pos="1125"/>
        </w:tabs>
      </w:pPr>
      <w:r>
        <w:t xml:space="preserve">If applicable, </w:t>
      </w:r>
      <w:r w:rsidR="00DF6AEB">
        <w:t>check emergency placement box</w:t>
      </w:r>
      <w:r>
        <w:t xml:space="preserve"> (element 14)</w:t>
      </w:r>
      <w:r w:rsidR="00431A06">
        <w:t>.</w:t>
      </w:r>
      <w:r w:rsidR="00DF6AEB">
        <w:t xml:space="preserve">  </w:t>
      </w:r>
      <w:r w:rsidR="005E7DDF">
        <w:t xml:space="preserve"> </w:t>
      </w:r>
    </w:p>
    <w:p w:rsidR="00E155E0" w:rsidRDefault="00AF6265" w:rsidP="00CE7E3E">
      <w:pPr>
        <w:tabs>
          <w:tab w:val="left" w:pos="1125"/>
        </w:tabs>
      </w:pPr>
      <w:r>
        <w:rPr>
          <w:noProof/>
        </w:rPr>
        <w:drawing>
          <wp:inline distT="0" distB="0" distL="0" distR="0" wp14:anchorId="046E948D" wp14:editId="599303B4">
            <wp:extent cx="5943600" cy="3456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330" w:rsidRPr="005B4330" w:rsidRDefault="005B4330" w:rsidP="005B4330"/>
    <w:p w:rsidR="00FB2F5D" w:rsidRDefault="00FB2F5D" w:rsidP="005B4330"/>
    <w:p w:rsidR="00BF67C4" w:rsidRPr="00BF67C4" w:rsidRDefault="00BF67C4" w:rsidP="00BF67C4">
      <w:pPr>
        <w:tabs>
          <w:tab w:val="left" w:pos="930"/>
        </w:tabs>
      </w:pPr>
    </w:p>
    <w:sectPr w:rsidR="00BF67C4" w:rsidRPr="00BF67C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3" w:rsidRDefault="00BA6C93" w:rsidP="00E0274E">
      <w:pPr>
        <w:spacing w:after="0" w:line="240" w:lineRule="auto"/>
      </w:pPr>
      <w:r>
        <w:separator/>
      </w:r>
    </w:p>
  </w:endnote>
  <w:endnote w:type="continuationSeparator" w:id="0">
    <w:p w:rsidR="00BA6C93" w:rsidRDefault="00BA6C93" w:rsidP="00E0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118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372" w:rsidRDefault="00916372">
        <w:pPr>
          <w:pStyle w:val="Footer"/>
          <w:jc w:val="right"/>
        </w:pPr>
        <w:r>
          <w:t xml:space="preserve">Revision </w:t>
        </w:r>
        <w:r w:rsidR="00E70B8B">
          <w:t>6</w:t>
        </w:r>
        <w:r>
          <w:t>/</w:t>
        </w:r>
        <w:r w:rsidR="00E70B8B">
          <w:t>5</w:t>
        </w:r>
        <w:r>
          <w:t>/2015</w:t>
        </w:r>
      </w:p>
      <w:p w:rsidR="00916372" w:rsidRDefault="00916372" w:rsidP="00B652BA">
        <w:pPr>
          <w:pStyle w:val="Footer"/>
          <w:jc w:val="center"/>
        </w:pP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7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6372" w:rsidRDefault="0091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3" w:rsidRDefault="00BA6C93" w:rsidP="00E0274E">
      <w:pPr>
        <w:spacing w:after="0" w:line="240" w:lineRule="auto"/>
      </w:pPr>
      <w:r>
        <w:separator/>
      </w:r>
    </w:p>
  </w:footnote>
  <w:footnote w:type="continuationSeparator" w:id="0">
    <w:p w:rsidR="00BA6C93" w:rsidRDefault="00BA6C93" w:rsidP="00E0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12"/>
    <w:multiLevelType w:val="hybridMultilevel"/>
    <w:tmpl w:val="9D32ED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41697"/>
    <w:multiLevelType w:val="hybridMultilevel"/>
    <w:tmpl w:val="06F2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F0C"/>
    <w:multiLevelType w:val="hybridMultilevel"/>
    <w:tmpl w:val="C780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A36"/>
    <w:multiLevelType w:val="hybridMultilevel"/>
    <w:tmpl w:val="93DE14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383983"/>
    <w:multiLevelType w:val="hybridMultilevel"/>
    <w:tmpl w:val="14E878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D2E26"/>
    <w:multiLevelType w:val="hybridMultilevel"/>
    <w:tmpl w:val="3DA438F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CF3F0C"/>
    <w:multiLevelType w:val="hybridMultilevel"/>
    <w:tmpl w:val="D9504B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FC656F"/>
    <w:multiLevelType w:val="hybridMultilevel"/>
    <w:tmpl w:val="B5E6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1AE7"/>
    <w:multiLevelType w:val="hybridMultilevel"/>
    <w:tmpl w:val="6950BC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030CAE"/>
    <w:multiLevelType w:val="hybridMultilevel"/>
    <w:tmpl w:val="A538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A6716"/>
    <w:multiLevelType w:val="hybridMultilevel"/>
    <w:tmpl w:val="02FE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3439"/>
    <w:multiLevelType w:val="hybridMultilevel"/>
    <w:tmpl w:val="F53E08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F"/>
    <w:rsid w:val="0000364E"/>
    <w:rsid w:val="000107C8"/>
    <w:rsid w:val="00014C9C"/>
    <w:rsid w:val="00014DB2"/>
    <w:rsid w:val="00017179"/>
    <w:rsid w:val="00024634"/>
    <w:rsid w:val="0004408F"/>
    <w:rsid w:val="00051D06"/>
    <w:rsid w:val="00052F81"/>
    <w:rsid w:val="0006326E"/>
    <w:rsid w:val="00067D72"/>
    <w:rsid w:val="00077600"/>
    <w:rsid w:val="000860DF"/>
    <w:rsid w:val="00087C4C"/>
    <w:rsid w:val="00094493"/>
    <w:rsid w:val="0009598A"/>
    <w:rsid w:val="000976AA"/>
    <w:rsid w:val="00097F4E"/>
    <w:rsid w:val="000B7A08"/>
    <w:rsid w:val="000D3A75"/>
    <w:rsid w:val="000D47C5"/>
    <w:rsid w:val="000D56BF"/>
    <w:rsid w:val="000F38E4"/>
    <w:rsid w:val="000F3A7A"/>
    <w:rsid w:val="000F5B3B"/>
    <w:rsid w:val="000F6CA4"/>
    <w:rsid w:val="00117DD6"/>
    <w:rsid w:val="00121EA9"/>
    <w:rsid w:val="00143856"/>
    <w:rsid w:val="00154F7B"/>
    <w:rsid w:val="0016591F"/>
    <w:rsid w:val="00171480"/>
    <w:rsid w:val="00171D26"/>
    <w:rsid w:val="00176212"/>
    <w:rsid w:val="00183E6E"/>
    <w:rsid w:val="0018473D"/>
    <w:rsid w:val="001A4024"/>
    <w:rsid w:val="001A64A8"/>
    <w:rsid w:val="001B2DEC"/>
    <w:rsid w:val="001B2EE0"/>
    <w:rsid w:val="001C26AB"/>
    <w:rsid w:val="001C3522"/>
    <w:rsid w:val="001C7220"/>
    <w:rsid w:val="001E7D35"/>
    <w:rsid w:val="001F0DFF"/>
    <w:rsid w:val="002235C5"/>
    <w:rsid w:val="00225288"/>
    <w:rsid w:val="0024246E"/>
    <w:rsid w:val="00254DAF"/>
    <w:rsid w:val="0026230A"/>
    <w:rsid w:val="00264D84"/>
    <w:rsid w:val="00285616"/>
    <w:rsid w:val="002856F8"/>
    <w:rsid w:val="002A6380"/>
    <w:rsid w:val="002B17EC"/>
    <w:rsid w:val="002C4A86"/>
    <w:rsid w:val="002D4E9B"/>
    <w:rsid w:val="002D592A"/>
    <w:rsid w:val="002D6CD9"/>
    <w:rsid w:val="002E75BD"/>
    <w:rsid w:val="002F23A4"/>
    <w:rsid w:val="002F343C"/>
    <w:rsid w:val="002F7D7A"/>
    <w:rsid w:val="00305572"/>
    <w:rsid w:val="003131F0"/>
    <w:rsid w:val="0032580A"/>
    <w:rsid w:val="003321C9"/>
    <w:rsid w:val="00336D60"/>
    <w:rsid w:val="00343C84"/>
    <w:rsid w:val="00346CC6"/>
    <w:rsid w:val="003534A0"/>
    <w:rsid w:val="003535B9"/>
    <w:rsid w:val="00353B58"/>
    <w:rsid w:val="00382701"/>
    <w:rsid w:val="0038459E"/>
    <w:rsid w:val="003971DE"/>
    <w:rsid w:val="003A5B1D"/>
    <w:rsid w:val="003B160C"/>
    <w:rsid w:val="003B1717"/>
    <w:rsid w:val="003D6821"/>
    <w:rsid w:val="003D6E57"/>
    <w:rsid w:val="003E5090"/>
    <w:rsid w:val="003E65FB"/>
    <w:rsid w:val="003F2804"/>
    <w:rsid w:val="0040348F"/>
    <w:rsid w:val="00403BAC"/>
    <w:rsid w:val="00431A06"/>
    <w:rsid w:val="0043299C"/>
    <w:rsid w:val="004339FE"/>
    <w:rsid w:val="00436BB7"/>
    <w:rsid w:val="00444AE7"/>
    <w:rsid w:val="00455AD5"/>
    <w:rsid w:val="004610F9"/>
    <w:rsid w:val="00463367"/>
    <w:rsid w:val="00464349"/>
    <w:rsid w:val="00490D4E"/>
    <w:rsid w:val="00493F8C"/>
    <w:rsid w:val="004A092C"/>
    <w:rsid w:val="004A1D15"/>
    <w:rsid w:val="004A5970"/>
    <w:rsid w:val="004B6ECF"/>
    <w:rsid w:val="004D2878"/>
    <w:rsid w:val="004D5ACE"/>
    <w:rsid w:val="00533CB4"/>
    <w:rsid w:val="00557A14"/>
    <w:rsid w:val="00557F85"/>
    <w:rsid w:val="00596E57"/>
    <w:rsid w:val="005B42BC"/>
    <w:rsid w:val="005B4330"/>
    <w:rsid w:val="005C0876"/>
    <w:rsid w:val="005D7477"/>
    <w:rsid w:val="005D79FF"/>
    <w:rsid w:val="005E7DDF"/>
    <w:rsid w:val="005F580A"/>
    <w:rsid w:val="00603B3C"/>
    <w:rsid w:val="00620E9F"/>
    <w:rsid w:val="006347B5"/>
    <w:rsid w:val="00642DDC"/>
    <w:rsid w:val="00651811"/>
    <w:rsid w:val="00670C71"/>
    <w:rsid w:val="00681360"/>
    <w:rsid w:val="00687681"/>
    <w:rsid w:val="00687E38"/>
    <w:rsid w:val="00691F1A"/>
    <w:rsid w:val="006976A8"/>
    <w:rsid w:val="006C1066"/>
    <w:rsid w:val="006D6D5D"/>
    <w:rsid w:val="006E2BDA"/>
    <w:rsid w:val="006E6049"/>
    <w:rsid w:val="006F4A18"/>
    <w:rsid w:val="007078A6"/>
    <w:rsid w:val="00707CF3"/>
    <w:rsid w:val="007375AC"/>
    <w:rsid w:val="00747C37"/>
    <w:rsid w:val="007545EA"/>
    <w:rsid w:val="007723FE"/>
    <w:rsid w:val="0077339E"/>
    <w:rsid w:val="0077604E"/>
    <w:rsid w:val="00780B40"/>
    <w:rsid w:val="0078368F"/>
    <w:rsid w:val="0078795B"/>
    <w:rsid w:val="0079165C"/>
    <w:rsid w:val="007A6F8C"/>
    <w:rsid w:val="007C3755"/>
    <w:rsid w:val="007E1603"/>
    <w:rsid w:val="007E47F5"/>
    <w:rsid w:val="007E7AE4"/>
    <w:rsid w:val="007F2623"/>
    <w:rsid w:val="00803301"/>
    <w:rsid w:val="00857A43"/>
    <w:rsid w:val="008605D3"/>
    <w:rsid w:val="00864973"/>
    <w:rsid w:val="00877012"/>
    <w:rsid w:val="008815EB"/>
    <w:rsid w:val="00886CB1"/>
    <w:rsid w:val="00887382"/>
    <w:rsid w:val="008B6A09"/>
    <w:rsid w:val="008D031A"/>
    <w:rsid w:val="008F5070"/>
    <w:rsid w:val="008F64C5"/>
    <w:rsid w:val="009078D6"/>
    <w:rsid w:val="00916372"/>
    <w:rsid w:val="009413EB"/>
    <w:rsid w:val="00965E75"/>
    <w:rsid w:val="00973A53"/>
    <w:rsid w:val="00973C93"/>
    <w:rsid w:val="00980F27"/>
    <w:rsid w:val="0099248B"/>
    <w:rsid w:val="009933C7"/>
    <w:rsid w:val="009A4961"/>
    <w:rsid w:val="009A69A1"/>
    <w:rsid w:val="009A72C7"/>
    <w:rsid w:val="009B1D42"/>
    <w:rsid w:val="009B3BA4"/>
    <w:rsid w:val="009B6EB6"/>
    <w:rsid w:val="009D7786"/>
    <w:rsid w:val="009F4FBF"/>
    <w:rsid w:val="00A01591"/>
    <w:rsid w:val="00A05F55"/>
    <w:rsid w:val="00A17330"/>
    <w:rsid w:val="00A279B7"/>
    <w:rsid w:val="00A44650"/>
    <w:rsid w:val="00A52CE0"/>
    <w:rsid w:val="00A559C5"/>
    <w:rsid w:val="00A60F68"/>
    <w:rsid w:val="00A646FA"/>
    <w:rsid w:val="00A66F1A"/>
    <w:rsid w:val="00A73B6D"/>
    <w:rsid w:val="00A9008D"/>
    <w:rsid w:val="00A92902"/>
    <w:rsid w:val="00A97AED"/>
    <w:rsid w:val="00AA04F5"/>
    <w:rsid w:val="00AA18C7"/>
    <w:rsid w:val="00AB5619"/>
    <w:rsid w:val="00AF4EBC"/>
    <w:rsid w:val="00AF6265"/>
    <w:rsid w:val="00B075ED"/>
    <w:rsid w:val="00B15721"/>
    <w:rsid w:val="00B16652"/>
    <w:rsid w:val="00B21747"/>
    <w:rsid w:val="00B42956"/>
    <w:rsid w:val="00B44DDF"/>
    <w:rsid w:val="00B569E4"/>
    <w:rsid w:val="00B652BA"/>
    <w:rsid w:val="00B663CC"/>
    <w:rsid w:val="00B84FE8"/>
    <w:rsid w:val="00B871C7"/>
    <w:rsid w:val="00BA45A6"/>
    <w:rsid w:val="00BA5BCC"/>
    <w:rsid w:val="00BA6C93"/>
    <w:rsid w:val="00BC454E"/>
    <w:rsid w:val="00BD7606"/>
    <w:rsid w:val="00BE4452"/>
    <w:rsid w:val="00BF1D74"/>
    <w:rsid w:val="00BF67C4"/>
    <w:rsid w:val="00C04108"/>
    <w:rsid w:val="00C059A7"/>
    <w:rsid w:val="00C05D30"/>
    <w:rsid w:val="00C120C7"/>
    <w:rsid w:val="00C23A76"/>
    <w:rsid w:val="00C33F06"/>
    <w:rsid w:val="00C42AB6"/>
    <w:rsid w:val="00C56559"/>
    <w:rsid w:val="00C57018"/>
    <w:rsid w:val="00C64E1F"/>
    <w:rsid w:val="00C720D8"/>
    <w:rsid w:val="00C73E89"/>
    <w:rsid w:val="00C8424C"/>
    <w:rsid w:val="00C85EC1"/>
    <w:rsid w:val="00C86052"/>
    <w:rsid w:val="00C8651D"/>
    <w:rsid w:val="00C93876"/>
    <w:rsid w:val="00C96B7E"/>
    <w:rsid w:val="00CA06F0"/>
    <w:rsid w:val="00CD2A3E"/>
    <w:rsid w:val="00CE1B8B"/>
    <w:rsid w:val="00CE420A"/>
    <w:rsid w:val="00CE7E3E"/>
    <w:rsid w:val="00CF2FBD"/>
    <w:rsid w:val="00CF7F31"/>
    <w:rsid w:val="00D26162"/>
    <w:rsid w:val="00D26949"/>
    <w:rsid w:val="00D33772"/>
    <w:rsid w:val="00D73CCB"/>
    <w:rsid w:val="00D8118C"/>
    <w:rsid w:val="00D82208"/>
    <w:rsid w:val="00D83E3F"/>
    <w:rsid w:val="00D864F9"/>
    <w:rsid w:val="00D91813"/>
    <w:rsid w:val="00D92186"/>
    <w:rsid w:val="00DA272B"/>
    <w:rsid w:val="00DA331B"/>
    <w:rsid w:val="00DA4276"/>
    <w:rsid w:val="00DA4D42"/>
    <w:rsid w:val="00DA7CF8"/>
    <w:rsid w:val="00DC5E78"/>
    <w:rsid w:val="00DE42F8"/>
    <w:rsid w:val="00DF6AEB"/>
    <w:rsid w:val="00E0274E"/>
    <w:rsid w:val="00E067B1"/>
    <w:rsid w:val="00E155E0"/>
    <w:rsid w:val="00E16683"/>
    <w:rsid w:val="00E1760D"/>
    <w:rsid w:val="00E404ED"/>
    <w:rsid w:val="00E439B5"/>
    <w:rsid w:val="00E6420F"/>
    <w:rsid w:val="00E70B8B"/>
    <w:rsid w:val="00E7763B"/>
    <w:rsid w:val="00EA209A"/>
    <w:rsid w:val="00EA6334"/>
    <w:rsid w:val="00ED19F5"/>
    <w:rsid w:val="00EE137A"/>
    <w:rsid w:val="00EE2179"/>
    <w:rsid w:val="00EE225D"/>
    <w:rsid w:val="00EE3082"/>
    <w:rsid w:val="00EE5E6B"/>
    <w:rsid w:val="00F06275"/>
    <w:rsid w:val="00F07F3E"/>
    <w:rsid w:val="00F12189"/>
    <w:rsid w:val="00F14041"/>
    <w:rsid w:val="00F2447F"/>
    <w:rsid w:val="00F3098C"/>
    <w:rsid w:val="00F319B7"/>
    <w:rsid w:val="00F31CCE"/>
    <w:rsid w:val="00F37032"/>
    <w:rsid w:val="00F51822"/>
    <w:rsid w:val="00F53DD2"/>
    <w:rsid w:val="00F55E81"/>
    <w:rsid w:val="00F57B81"/>
    <w:rsid w:val="00F65B45"/>
    <w:rsid w:val="00F8282A"/>
    <w:rsid w:val="00FA7DA0"/>
    <w:rsid w:val="00FB2F5D"/>
    <w:rsid w:val="00FD02E0"/>
    <w:rsid w:val="00FE09B8"/>
    <w:rsid w:val="00FE466B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CC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4E"/>
  </w:style>
  <w:style w:type="paragraph" w:styleId="Footer">
    <w:name w:val="footer"/>
    <w:basedOn w:val="Normal"/>
    <w:link w:val="FooterChar"/>
    <w:uiPriority w:val="99"/>
    <w:unhideWhenUsed/>
    <w:rsid w:val="00E0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4E"/>
  </w:style>
  <w:style w:type="paragraph" w:styleId="ListParagraph">
    <w:name w:val="List Paragraph"/>
    <w:basedOn w:val="Normal"/>
    <w:uiPriority w:val="34"/>
    <w:qFormat/>
    <w:rsid w:val="00EA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4E"/>
  </w:style>
  <w:style w:type="paragraph" w:styleId="Footer">
    <w:name w:val="footer"/>
    <w:basedOn w:val="Normal"/>
    <w:link w:val="FooterChar"/>
    <w:uiPriority w:val="99"/>
    <w:unhideWhenUsed/>
    <w:rsid w:val="00E0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4E"/>
  </w:style>
  <w:style w:type="paragraph" w:styleId="ListParagraph">
    <w:name w:val="List Paragraph"/>
    <w:basedOn w:val="Normal"/>
    <w:uiPriority w:val="34"/>
    <w:qFormat/>
    <w:rsid w:val="00EA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7631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6</cp:revision>
  <cp:lastPrinted>2015-05-01T00:56:00Z</cp:lastPrinted>
  <dcterms:created xsi:type="dcterms:W3CDTF">2015-06-05T00:05:00Z</dcterms:created>
  <dcterms:modified xsi:type="dcterms:W3CDTF">2015-06-10T18:19:00Z</dcterms:modified>
</cp:coreProperties>
</file>