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66A6" w:rsidRPr="00B32D0C" w:rsidRDefault="00042DF9" w:rsidP="00D138D7">
      <w:pPr>
        <w:ind w:right="-1170"/>
        <w:rPr>
          <w:bCs/>
          <w:color w:val="0F243E"/>
          <w:sz w:val="40"/>
        </w:rPr>
      </w:pPr>
      <w:r>
        <w:rPr>
          <w:noProof/>
        </w:rPr>
        <mc:AlternateContent>
          <mc:Choice Requires="wps">
            <w:drawing>
              <wp:anchor distT="91440" distB="91440" distL="114300" distR="114300" simplePos="0" relativeHeight="251658240" behindDoc="0" locked="0" layoutInCell="0" allowOverlap="1">
                <wp:simplePos x="0" y="0"/>
                <wp:positionH relativeFrom="page">
                  <wp:posOffset>542290</wp:posOffset>
                </wp:positionH>
                <wp:positionV relativeFrom="page">
                  <wp:posOffset>962025</wp:posOffset>
                </wp:positionV>
                <wp:extent cx="2167255" cy="4324350"/>
                <wp:effectExtent l="0" t="0" r="42545" b="571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7255" cy="432435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2866A6" w:rsidRDefault="002866A6" w:rsidP="000A091D">
                            <w:pPr>
                              <w:spacing w:after="0"/>
                              <w:jc w:val="center"/>
                              <w:rPr>
                                <w:b/>
                                <w:sz w:val="24"/>
                              </w:rPr>
                            </w:pPr>
                            <w:r w:rsidRPr="007D2F98">
                              <w:rPr>
                                <w:b/>
                                <w:sz w:val="24"/>
                              </w:rPr>
                              <w:t>FFE Values</w:t>
                            </w:r>
                          </w:p>
                          <w:p w:rsidR="002C3447" w:rsidRPr="007D2F98" w:rsidRDefault="002C3447" w:rsidP="000A091D">
                            <w:pPr>
                              <w:spacing w:after="0"/>
                              <w:jc w:val="center"/>
                              <w:rPr>
                                <w:b/>
                                <w:sz w:val="24"/>
                              </w:rPr>
                            </w:pPr>
                          </w:p>
                          <w:p w:rsidR="002866A6" w:rsidRPr="000A091D" w:rsidRDefault="002866A6" w:rsidP="000A091D">
                            <w:pPr>
                              <w:pStyle w:val="ListParagraph"/>
                              <w:numPr>
                                <w:ilvl w:val="0"/>
                                <w:numId w:val="14"/>
                              </w:numPr>
                              <w:rPr>
                                <w:b/>
                              </w:rPr>
                            </w:pPr>
                            <w:r w:rsidRPr="000A091D">
                              <w:rPr>
                                <w:b/>
                              </w:rPr>
                              <w:t>Children have a right to permanent family.</w:t>
                            </w:r>
                          </w:p>
                          <w:p w:rsidR="002866A6" w:rsidRPr="000A091D" w:rsidRDefault="002866A6" w:rsidP="000A091D">
                            <w:pPr>
                              <w:pStyle w:val="ListParagraph"/>
                              <w:numPr>
                                <w:ilvl w:val="0"/>
                                <w:numId w:val="14"/>
                              </w:numPr>
                              <w:rPr>
                                <w:b/>
                              </w:rPr>
                            </w:pPr>
                            <w:r w:rsidRPr="000A091D">
                              <w:rPr>
                                <w:b/>
                              </w:rPr>
                              <w:t>Children must be central in their own permanency planning.</w:t>
                            </w:r>
                          </w:p>
                          <w:p w:rsidR="002866A6" w:rsidRPr="000A091D" w:rsidRDefault="002866A6" w:rsidP="000A091D">
                            <w:pPr>
                              <w:pStyle w:val="ListParagraph"/>
                              <w:numPr>
                                <w:ilvl w:val="0"/>
                                <w:numId w:val="14"/>
                              </w:numPr>
                              <w:rPr>
                                <w:b/>
                              </w:rPr>
                            </w:pPr>
                            <w:r w:rsidRPr="000A091D">
                              <w:rPr>
                                <w:b/>
                              </w:rPr>
                              <w:t xml:space="preserve">A cooperative partnership between agencies, children and families is essential to developing concurrent multiple permanency options and </w:t>
                            </w:r>
                            <w:r w:rsidR="0009746F" w:rsidRPr="000A091D">
                              <w:rPr>
                                <w:b/>
                              </w:rPr>
                              <w:t xml:space="preserve">realizing </w:t>
                            </w:r>
                            <w:r w:rsidRPr="000A091D">
                              <w:rPr>
                                <w:b/>
                              </w:rPr>
                              <w:t>the best outcomes.</w:t>
                            </w:r>
                          </w:p>
                          <w:p w:rsidR="002866A6" w:rsidRPr="000A091D" w:rsidRDefault="002866A6" w:rsidP="000A091D">
                            <w:pPr>
                              <w:pStyle w:val="ListParagraph"/>
                              <w:numPr>
                                <w:ilvl w:val="0"/>
                                <w:numId w:val="14"/>
                              </w:numPr>
                            </w:pPr>
                            <w:r w:rsidRPr="000A091D">
                              <w:rPr>
                                <w:b/>
                              </w:rPr>
                              <w:t>Permanency is a process, not an event.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7pt;margin-top:75.75pt;width:170.65pt;height:340.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" o:allowincell="f" fillcolor="#666" strokecolor="#666" strokeweight="1pt">
                <v:fill color2="#ccc" angle="135" focus="50%" type="gradient"/>
                <v:shadow on="t" color="#7f7f7f" opacity=".5" offset="1pt"/>
                <v:textbox inset="21.6pt,21.6pt,21.6pt,21.6pt">
                  <w:txbxContent>
                    <w:p w:rsidR="002866A6" w:rsidRDefault="002866A6" w:rsidP="000A091D">
                      <w:pPr>
                        <w:spacing w:after="0"/>
                        <w:jc w:val="center"/>
                        <w:rPr>
                          <w:b/>
                          <w:sz w:val="24"/>
                        </w:rPr>
                      </w:pPr>
                      <w:r w:rsidRPr="007D2F98">
                        <w:rPr>
                          <w:b/>
                          <w:sz w:val="24"/>
                        </w:rPr>
                        <w:t>FFE Values</w:t>
                      </w:r>
                    </w:p>
                    <w:p w:rsidR="002C3447" w:rsidRPr="007D2F98" w:rsidRDefault="002C3447" w:rsidP="000A091D">
                      <w:pPr>
                        <w:spacing w:after="0"/>
                        <w:jc w:val="center"/>
                        <w:rPr>
                          <w:b/>
                          <w:sz w:val="24"/>
                        </w:rPr>
                      </w:pPr>
                    </w:p>
                    <w:p w:rsidR="002866A6" w:rsidRPr="000A091D" w:rsidRDefault="002866A6" w:rsidP="000A091D">
                      <w:pPr>
                        <w:pStyle w:val="ListParagraph"/>
                        <w:numPr>
                          <w:ilvl w:val="0"/>
                          <w:numId w:val="14"/>
                        </w:numPr>
                        <w:rPr>
                          <w:b/>
                        </w:rPr>
                      </w:pPr>
                      <w:r w:rsidRPr="000A091D">
                        <w:rPr>
                          <w:b/>
                        </w:rPr>
                        <w:t>Children have a right to permanent family.</w:t>
                      </w:r>
                    </w:p>
                    <w:p w:rsidR="002866A6" w:rsidRPr="000A091D" w:rsidRDefault="002866A6" w:rsidP="000A091D">
                      <w:pPr>
                        <w:pStyle w:val="ListParagraph"/>
                        <w:numPr>
                          <w:ilvl w:val="0"/>
                          <w:numId w:val="14"/>
                        </w:numPr>
                        <w:rPr>
                          <w:b/>
                        </w:rPr>
                      </w:pPr>
                      <w:r w:rsidRPr="000A091D">
                        <w:rPr>
                          <w:b/>
                        </w:rPr>
                        <w:t>Children must be central in their own permanency planning.</w:t>
                      </w:r>
                    </w:p>
                    <w:p w:rsidR="002866A6" w:rsidRPr="000A091D" w:rsidRDefault="002866A6" w:rsidP="000A091D">
                      <w:pPr>
                        <w:pStyle w:val="ListParagraph"/>
                        <w:numPr>
                          <w:ilvl w:val="0"/>
                          <w:numId w:val="14"/>
                        </w:numPr>
                        <w:rPr>
                          <w:b/>
                        </w:rPr>
                      </w:pPr>
                      <w:r w:rsidRPr="000A091D">
                        <w:rPr>
                          <w:b/>
                        </w:rPr>
                        <w:t xml:space="preserve">A cooperative partnership between agencies, children and families is essential to developing concurrent multiple permanency options and </w:t>
                      </w:r>
                      <w:r w:rsidR="0009746F" w:rsidRPr="000A091D">
                        <w:rPr>
                          <w:b/>
                        </w:rPr>
                        <w:t xml:space="preserve">realizing </w:t>
                      </w:r>
                      <w:r w:rsidRPr="000A091D">
                        <w:rPr>
                          <w:b/>
                        </w:rPr>
                        <w:t>the best outcomes.</w:t>
                      </w:r>
                    </w:p>
                    <w:p w:rsidR="002866A6" w:rsidRPr="000A091D" w:rsidRDefault="002866A6" w:rsidP="000A091D">
                      <w:pPr>
                        <w:pStyle w:val="ListParagraph"/>
                        <w:numPr>
                          <w:ilvl w:val="0"/>
                          <w:numId w:val="14"/>
                        </w:numPr>
                      </w:pPr>
                      <w:r w:rsidRPr="000A091D">
                        <w:rPr>
                          <w:b/>
                        </w:rPr>
                        <w:t>Permanency is a process, not an event.</w:t>
                      </w:r>
                    </w:p>
                  </w:txbxContent>
                </v:textbox>
                <w10:wrap type="square" anchorx="page" anchory="page"/>
              </v:rect>
            </w:pict>
          </mc:Fallback>
        </mc:AlternateContent>
      </w:r>
      <w:r w:rsidR="002866A6" w:rsidRPr="00B32D0C">
        <w:rPr>
          <w:bCs/>
          <w:color w:val="0F243E"/>
          <w:sz w:val="40"/>
        </w:rPr>
        <w:t>Family Finding &amp; Engagement Fact Sheet</w:t>
      </w:r>
    </w:p>
    <w:p w:rsidR="002866A6" w:rsidRPr="006E70E8" w:rsidRDefault="002866A6" w:rsidP="006659DB">
      <w:pPr>
        <w:spacing w:after="0" w:line="240" w:lineRule="auto"/>
        <w:ind w:right="-1170"/>
        <w:rPr>
          <w:b/>
          <w:color w:val="1F497D" w:themeColor="text2"/>
          <w:sz w:val="24"/>
        </w:rPr>
      </w:pPr>
      <w:r w:rsidRPr="006E70E8">
        <w:rPr>
          <w:b/>
          <w:bCs/>
          <w:color w:val="1F497D" w:themeColor="text2"/>
          <w:sz w:val="24"/>
        </w:rPr>
        <w:t xml:space="preserve">What is </w:t>
      </w:r>
      <w:r w:rsidRPr="006E70E8">
        <w:rPr>
          <w:b/>
          <w:color w:val="1F497D" w:themeColor="text2"/>
          <w:sz w:val="24"/>
        </w:rPr>
        <w:t xml:space="preserve">Family Finding and Engagement? </w:t>
      </w:r>
    </w:p>
    <w:p w:rsidR="000A091D" w:rsidRDefault="002866A6" w:rsidP="000A091D">
      <w:pPr>
        <w:spacing w:after="0" w:line="240" w:lineRule="auto"/>
        <w:jc w:val="both"/>
      </w:pPr>
      <w:r w:rsidRPr="00F65627">
        <w:t>Family Finding and Engagement</w:t>
      </w:r>
      <w:r>
        <w:t xml:space="preserve"> </w:t>
      </w:r>
      <w:r w:rsidRPr="00F65627">
        <w:t>(FFE) is</w:t>
      </w:r>
      <w:r w:rsidR="000A091D">
        <w:t xml:space="preserve">: </w:t>
      </w:r>
    </w:p>
    <w:p w:rsidR="000A091D" w:rsidRDefault="000A091D" w:rsidP="000A091D">
      <w:pPr>
        <w:spacing w:after="0" w:line="240" w:lineRule="auto"/>
        <w:jc w:val="both"/>
      </w:pPr>
    </w:p>
    <w:p w:rsidR="000A091D" w:rsidRPr="000A091D" w:rsidRDefault="000A091D" w:rsidP="000A091D">
      <w:pPr>
        <w:spacing w:after="0" w:line="240" w:lineRule="auto"/>
        <w:jc w:val="both"/>
        <w:rPr>
          <w:i/>
        </w:rPr>
      </w:pPr>
      <w:r w:rsidRPr="000A091D">
        <w:rPr>
          <w:i/>
        </w:rPr>
        <w:t>“T</w:t>
      </w:r>
      <w:r w:rsidR="002866A6" w:rsidRPr="000A091D">
        <w:rPr>
          <w:i/>
        </w:rPr>
        <w:t xml:space="preserve">he practice of </w:t>
      </w:r>
      <w:r w:rsidR="001210FD" w:rsidRPr="000A091D">
        <w:rPr>
          <w:i/>
        </w:rPr>
        <w:t>rigorously</w:t>
      </w:r>
      <w:r w:rsidR="002866A6" w:rsidRPr="000A091D">
        <w:rPr>
          <w:i/>
        </w:rPr>
        <w:t xml:space="preserve"> searching</w:t>
      </w:r>
      <w:r>
        <w:rPr>
          <w:i/>
        </w:rPr>
        <w:t xml:space="preserve"> for </w:t>
      </w:r>
      <w:r w:rsidR="002866A6" w:rsidRPr="000A091D">
        <w:rPr>
          <w:i/>
        </w:rPr>
        <w:t>and engaging extended family members and other supportive adults</w:t>
      </w:r>
      <w:r w:rsidR="00493305" w:rsidRPr="000A091D">
        <w:rPr>
          <w:i/>
        </w:rPr>
        <w:t xml:space="preserve"> to establish an enduring support network</w:t>
      </w:r>
      <w:r w:rsidR="002866A6" w:rsidRPr="000A091D">
        <w:rPr>
          <w:i/>
        </w:rPr>
        <w:t xml:space="preserve"> for child</w:t>
      </w:r>
      <w:r w:rsidR="002C3447" w:rsidRPr="000A091D">
        <w:rPr>
          <w:i/>
        </w:rPr>
        <w:t>ren</w:t>
      </w:r>
      <w:r w:rsidRPr="000A091D">
        <w:rPr>
          <w:i/>
        </w:rPr>
        <w:t>”</w:t>
      </w:r>
      <w:r w:rsidR="002866A6" w:rsidRPr="000A091D">
        <w:rPr>
          <w:i/>
        </w:rPr>
        <w:t xml:space="preserve">.  </w:t>
      </w:r>
    </w:p>
    <w:p w:rsidR="000A091D" w:rsidRDefault="000A091D" w:rsidP="000A091D">
      <w:pPr>
        <w:spacing w:after="0" w:line="240" w:lineRule="auto"/>
        <w:jc w:val="both"/>
      </w:pPr>
    </w:p>
    <w:p w:rsidR="002C3447" w:rsidRDefault="002866A6" w:rsidP="000A091D">
      <w:pPr>
        <w:spacing w:after="0" w:line="240" w:lineRule="auto"/>
        <w:jc w:val="both"/>
      </w:pPr>
      <w:r>
        <w:t>Early search and engagement efforts may</w:t>
      </w:r>
      <w:r w:rsidRPr="00F65627">
        <w:t xml:space="preserve"> reveal</w:t>
      </w:r>
      <w:r>
        <w:t xml:space="preserve"> that family</w:t>
      </w:r>
      <w:r w:rsidRPr="00F65627">
        <w:t xml:space="preserve"> members (including fathers</w:t>
      </w:r>
      <w:r>
        <w:t xml:space="preserve"> and</w:t>
      </w:r>
      <w:r w:rsidRPr="00F65627">
        <w:t xml:space="preserve"> paternal family</w:t>
      </w:r>
      <w:r>
        <w:t xml:space="preserve"> members</w:t>
      </w:r>
      <w:r w:rsidRPr="00F65627">
        <w:t xml:space="preserve">) can be safe </w:t>
      </w:r>
      <w:r w:rsidR="002C3447">
        <w:t xml:space="preserve">and nurturing </w:t>
      </w:r>
      <w:r w:rsidRPr="00F65627">
        <w:t xml:space="preserve">resources for </w:t>
      </w:r>
      <w:r w:rsidR="002C3447">
        <w:t>children</w:t>
      </w:r>
      <w:r w:rsidRPr="00F65627">
        <w:t>, thus preventing</w:t>
      </w:r>
      <w:r>
        <w:t xml:space="preserve"> </w:t>
      </w:r>
      <w:r w:rsidR="00DE4F95">
        <w:t>out of home</w:t>
      </w:r>
      <w:r w:rsidRPr="00F65627">
        <w:t xml:space="preserve"> placement </w:t>
      </w:r>
      <w:r>
        <w:t>at</w:t>
      </w:r>
      <w:r w:rsidRPr="00F65627">
        <w:t xml:space="preserve"> outset</w:t>
      </w:r>
      <w:r w:rsidR="00092A6C">
        <w:t xml:space="preserve"> or decreased length of time in placement</w:t>
      </w:r>
      <w:r w:rsidRPr="00F65627">
        <w:t xml:space="preserve">.  </w:t>
      </w:r>
      <w:r>
        <w:t>FFE</w:t>
      </w:r>
      <w:r w:rsidRPr="00094603">
        <w:t xml:space="preserve"> is a structured model</w:t>
      </w:r>
      <w:r>
        <w:t xml:space="preserve"> designed</w:t>
      </w:r>
      <w:r w:rsidR="00493305">
        <w:t xml:space="preserve"> to build an enduring </w:t>
      </w:r>
      <w:r>
        <w:t>network of caring relationships for child</w:t>
      </w:r>
      <w:r w:rsidR="002C3447">
        <w:t>ren</w:t>
      </w:r>
      <w:r w:rsidR="00092A6C">
        <w:t>.  FFE encourages and supports</w:t>
      </w:r>
      <w:r w:rsidRPr="00094603">
        <w:t xml:space="preserve"> adults </w:t>
      </w:r>
      <w:r w:rsidR="00092A6C">
        <w:t>in</w:t>
      </w:r>
      <w:r w:rsidR="00092A6C" w:rsidRPr="00094603">
        <w:t xml:space="preserve"> </w:t>
      </w:r>
      <w:r w:rsidR="00092A6C">
        <w:t xml:space="preserve">their commitment </w:t>
      </w:r>
      <w:r>
        <w:t>to</w:t>
      </w:r>
      <w:r w:rsidR="00493305">
        <w:t xml:space="preserve"> contribute/be</w:t>
      </w:r>
      <w:r>
        <w:t xml:space="preserve"> involved in a child’s </w:t>
      </w:r>
      <w:r w:rsidRPr="00094603">
        <w:t xml:space="preserve">life. </w:t>
      </w:r>
      <w:r>
        <w:t>FFE</w:t>
      </w:r>
      <w:r w:rsidRPr="00094603">
        <w:t xml:space="preserve"> </w:t>
      </w:r>
      <w:r w:rsidDel="003A3974">
        <w:t xml:space="preserve">involves persistent and consistent outreach and engagement </w:t>
      </w:r>
      <w:r w:rsidR="00092A6C">
        <w:t>of people who provide</w:t>
      </w:r>
      <w:r w:rsidR="00493305">
        <w:t xml:space="preserve"> enduring support </w:t>
      </w:r>
      <w:r w:rsidR="00092A6C">
        <w:t>and those who</w:t>
      </w:r>
      <w:r w:rsidRPr="00094603">
        <w:t xml:space="preserve"> promot</w:t>
      </w:r>
      <w:r w:rsidR="00092A6C">
        <w:t>e</w:t>
      </w:r>
      <w:r w:rsidRPr="00094603">
        <w:t xml:space="preserve"> safety, permanency and </w:t>
      </w:r>
      <w:r w:rsidR="002C3447" w:rsidRPr="00094603">
        <w:t>well-being</w:t>
      </w:r>
      <w:r w:rsidRPr="00094603">
        <w:t xml:space="preserve"> for </w:t>
      </w:r>
      <w:r w:rsidR="0009746F">
        <w:t>child</w:t>
      </w:r>
      <w:r w:rsidR="00092A6C">
        <w:t>ren</w:t>
      </w:r>
      <w:r w:rsidRPr="00094603">
        <w:t xml:space="preserve">. </w:t>
      </w:r>
      <w:r w:rsidR="00493305">
        <w:t xml:space="preserve"> </w:t>
      </w:r>
      <w:r w:rsidR="003B3797">
        <w:t xml:space="preserve">While </w:t>
      </w:r>
      <w:r w:rsidR="002924D8">
        <w:t>FFE</w:t>
      </w:r>
      <w:r w:rsidR="003B3797">
        <w:t xml:space="preserve"> was</w:t>
      </w:r>
      <w:r w:rsidR="0041213E">
        <w:t xml:space="preserve"> </w:t>
      </w:r>
      <w:r w:rsidR="003B3797">
        <w:t xml:space="preserve">originally developed to address the needs of children and youth who </w:t>
      </w:r>
      <w:r w:rsidR="002924D8">
        <w:t xml:space="preserve">lacked important connections and </w:t>
      </w:r>
      <w:r w:rsidR="002C3447">
        <w:t xml:space="preserve">who </w:t>
      </w:r>
      <w:r w:rsidR="003B3797">
        <w:t>were languishing in foster care</w:t>
      </w:r>
      <w:r w:rsidR="002924D8">
        <w:t>, it is also being used</w:t>
      </w:r>
      <w:r w:rsidR="002C3447">
        <w:t>,</w:t>
      </w:r>
      <w:r w:rsidR="002924D8">
        <w:t xml:space="preserve"> </w:t>
      </w:r>
      <w:r w:rsidR="00092A6C">
        <w:t xml:space="preserve">in </w:t>
      </w:r>
      <w:r w:rsidR="002924D8">
        <w:t>the front end of the child welfare system</w:t>
      </w:r>
      <w:r w:rsidR="002C3447">
        <w:t>:</w:t>
      </w:r>
    </w:p>
    <w:p w:rsidR="002C3447" w:rsidRDefault="000A091D" w:rsidP="000A091D">
      <w:pPr>
        <w:pStyle w:val="ListParagraph"/>
        <w:numPr>
          <w:ilvl w:val="0"/>
          <w:numId w:val="15"/>
        </w:numPr>
        <w:spacing w:after="0" w:line="240" w:lineRule="auto"/>
        <w:jc w:val="both"/>
      </w:pPr>
      <w:r>
        <w:t>T</w:t>
      </w:r>
      <w:r w:rsidR="002924D8">
        <w:t xml:space="preserve">o build </w:t>
      </w:r>
      <w:r w:rsidR="002C3447">
        <w:t xml:space="preserve">a </w:t>
      </w:r>
      <w:r w:rsidR="002924D8">
        <w:t>critical network of support immediately</w:t>
      </w:r>
    </w:p>
    <w:p w:rsidR="002C3447" w:rsidRDefault="000A091D" w:rsidP="000A091D">
      <w:pPr>
        <w:pStyle w:val="ListParagraph"/>
        <w:numPr>
          <w:ilvl w:val="0"/>
          <w:numId w:val="15"/>
        </w:numPr>
        <w:spacing w:after="0" w:line="240" w:lineRule="auto"/>
        <w:jc w:val="both"/>
      </w:pPr>
      <w:r>
        <w:t>T</w:t>
      </w:r>
      <w:r w:rsidR="002C3447">
        <w:t xml:space="preserve">o </w:t>
      </w:r>
      <w:r w:rsidR="002924D8">
        <w:t>eliminate the need for child</w:t>
      </w:r>
      <w:r w:rsidR="002C3447">
        <w:t>ren</w:t>
      </w:r>
      <w:r w:rsidR="002924D8">
        <w:t xml:space="preserve"> to come into care </w:t>
      </w:r>
    </w:p>
    <w:p w:rsidR="002C3447" w:rsidRDefault="000A091D" w:rsidP="000A091D">
      <w:pPr>
        <w:pStyle w:val="ListParagraph"/>
        <w:numPr>
          <w:ilvl w:val="0"/>
          <w:numId w:val="15"/>
        </w:numPr>
        <w:spacing w:after="0" w:line="240" w:lineRule="auto"/>
        <w:jc w:val="both"/>
      </w:pPr>
      <w:r>
        <w:t>T</w:t>
      </w:r>
      <w:r w:rsidR="002C3447">
        <w:t xml:space="preserve">o </w:t>
      </w:r>
      <w:r w:rsidR="002924D8">
        <w:t xml:space="preserve">reduce </w:t>
      </w:r>
      <w:r w:rsidR="002C3447">
        <w:t xml:space="preserve">children’s </w:t>
      </w:r>
      <w:r w:rsidR="002924D8">
        <w:t xml:space="preserve">length of stay </w:t>
      </w:r>
      <w:r w:rsidR="002C3447">
        <w:t xml:space="preserve">in care </w:t>
      </w:r>
    </w:p>
    <w:p w:rsidR="002866A6" w:rsidRDefault="000A091D" w:rsidP="000A091D">
      <w:pPr>
        <w:pStyle w:val="ListParagraph"/>
        <w:numPr>
          <w:ilvl w:val="0"/>
          <w:numId w:val="15"/>
        </w:numPr>
        <w:spacing w:after="0" w:line="240" w:lineRule="auto"/>
        <w:jc w:val="both"/>
      </w:pPr>
      <w:r>
        <w:t>T</w:t>
      </w:r>
      <w:r w:rsidR="002C3447">
        <w:t xml:space="preserve">o </w:t>
      </w:r>
      <w:r w:rsidR="002924D8">
        <w:t>keep child</w:t>
      </w:r>
      <w:r w:rsidR="002C3447">
        <w:t>ren</w:t>
      </w:r>
      <w:r w:rsidR="002924D8">
        <w:t xml:space="preserve"> connected to those who love </w:t>
      </w:r>
      <w:r w:rsidR="002C3447">
        <w:t>them.</w:t>
      </w:r>
      <w:r w:rsidR="003B3797">
        <w:t xml:space="preserve">  </w:t>
      </w:r>
    </w:p>
    <w:p w:rsidR="006659DB" w:rsidRPr="00EA092B" w:rsidRDefault="006659DB" w:rsidP="006659DB">
      <w:pPr>
        <w:spacing w:after="0" w:line="240" w:lineRule="auto"/>
      </w:pPr>
    </w:p>
    <w:p w:rsidR="002C3447" w:rsidRDefault="002C3447" w:rsidP="006659DB">
      <w:pPr>
        <w:spacing w:line="240" w:lineRule="auto"/>
        <w:rPr>
          <w:b/>
          <w:iCs/>
          <w:color w:val="1F497D" w:themeColor="text2"/>
          <w:sz w:val="24"/>
        </w:rPr>
      </w:pPr>
    </w:p>
    <w:p w:rsidR="002866A6" w:rsidRPr="006E70E8" w:rsidRDefault="002866A6" w:rsidP="000A091D">
      <w:pPr>
        <w:spacing w:after="0" w:line="240" w:lineRule="auto"/>
        <w:rPr>
          <w:b/>
          <w:iCs/>
          <w:color w:val="1F497D" w:themeColor="text2"/>
          <w:sz w:val="24"/>
        </w:rPr>
      </w:pPr>
      <w:r w:rsidRPr="006E70E8">
        <w:rPr>
          <w:b/>
          <w:iCs/>
          <w:color w:val="1F497D" w:themeColor="text2"/>
          <w:sz w:val="24"/>
        </w:rPr>
        <w:t xml:space="preserve">How is Family Finding and Engagement </w:t>
      </w:r>
      <w:r w:rsidR="002924D8">
        <w:rPr>
          <w:b/>
          <w:iCs/>
          <w:color w:val="1F497D" w:themeColor="text2"/>
          <w:sz w:val="24"/>
        </w:rPr>
        <w:t>Conducted</w:t>
      </w:r>
      <w:r w:rsidRPr="006E70E8">
        <w:rPr>
          <w:b/>
          <w:iCs/>
          <w:color w:val="1F497D" w:themeColor="text2"/>
          <w:sz w:val="24"/>
        </w:rPr>
        <w:t>?</w:t>
      </w:r>
    </w:p>
    <w:p w:rsidR="002866A6" w:rsidRPr="000A091D" w:rsidRDefault="00262DCB" w:rsidP="006659DB">
      <w:pPr>
        <w:spacing w:line="240" w:lineRule="auto"/>
        <w:rPr>
          <w:iCs/>
        </w:rPr>
      </w:pPr>
      <w:r w:rsidRPr="000A091D">
        <w:rPr>
          <w:iCs/>
        </w:rPr>
        <w:t xml:space="preserve">FFE consists of </w:t>
      </w:r>
      <w:r w:rsidR="002866A6" w:rsidRPr="000A091D">
        <w:rPr>
          <w:iCs/>
        </w:rPr>
        <w:t>interactive</w:t>
      </w:r>
      <w:r w:rsidR="0075562F">
        <w:rPr>
          <w:iCs/>
        </w:rPr>
        <w:t xml:space="preserve"> and collaborative</w:t>
      </w:r>
      <w:r w:rsidR="002924D8" w:rsidRPr="000A091D">
        <w:rPr>
          <w:iCs/>
        </w:rPr>
        <w:t xml:space="preserve"> components</w:t>
      </w:r>
      <w:r w:rsidR="002866A6" w:rsidRPr="000A091D">
        <w:rPr>
          <w:iCs/>
        </w:rPr>
        <w:t xml:space="preserve"> </w:t>
      </w:r>
      <w:r w:rsidR="002924D8" w:rsidRPr="000A091D">
        <w:rPr>
          <w:iCs/>
        </w:rPr>
        <w:t xml:space="preserve">which all require effective engagement between children and family members, natural supports, volunteer and professional staff </w:t>
      </w:r>
      <w:r w:rsidR="002866A6" w:rsidRPr="000A091D">
        <w:rPr>
          <w:iCs/>
        </w:rPr>
        <w:t xml:space="preserve">that </w:t>
      </w:r>
      <w:r w:rsidR="002924D8" w:rsidRPr="000A091D">
        <w:rPr>
          <w:iCs/>
        </w:rPr>
        <w:t>continue</w:t>
      </w:r>
      <w:r w:rsidR="002866A6" w:rsidRPr="000A091D">
        <w:rPr>
          <w:iCs/>
        </w:rPr>
        <w:t xml:space="preserve"> until</w:t>
      </w:r>
      <w:r w:rsidR="0075562F">
        <w:rPr>
          <w:iCs/>
        </w:rPr>
        <w:t>, hopefully,</w:t>
      </w:r>
      <w:r w:rsidR="002866A6" w:rsidRPr="000A091D">
        <w:rPr>
          <w:iCs/>
        </w:rPr>
        <w:t xml:space="preserve"> permanency is achieved</w:t>
      </w:r>
      <w:r w:rsidR="0075562F">
        <w:rPr>
          <w:iCs/>
        </w:rPr>
        <w:t>.  FEE includes:</w:t>
      </w:r>
    </w:p>
    <w:p w:rsidR="0075562F" w:rsidRDefault="00262DCB" w:rsidP="000A091D">
      <w:pPr>
        <w:pStyle w:val="ListParagraph"/>
        <w:numPr>
          <w:ilvl w:val="0"/>
          <w:numId w:val="16"/>
        </w:numPr>
        <w:spacing w:after="0" w:line="240" w:lineRule="auto"/>
        <w:rPr>
          <w:iCs/>
        </w:rPr>
      </w:pPr>
      <w:r w:rsidRPr="000A091D">
        <w:rPr>
          <w:iCs/>
        </w:rPr>
        <w:t>Identif</w:t>
      </w:r>
      <w:r w:rsidR="00504566">
        <w:rPr>
          <w:iCs/>
        </w:rPr>
        <w:t>ying</w:t>
      </w:r>
      <w:r w:rsidR="0075562F">
        <w:rPr>
          <w:iCs/>
        </w:rPr>
        <w:t xml:space="preserve"> </w:t>
      </w:r>
      <w:r w:rsidRPr="000A091D">
        <w:rPr>
          <w:iCs/>
        </w:rPr>
        <w:t xml:space="preserve">people who are important to the youth </w:t>
      </w:r>
    </w:p>
    <w:p w:rsidR="00262DCB" w:rsidRPr="000A091D" w:rsidRDefault="0075562F" w:rsidP="000A091D">
      <w:pPr>
        <w:pStyle w:val="ListParagraph"/>
        <w:numPr>
          <w:ilvl w:val="0"/>
          <w:numId w:val="16"/>
        </w:numPr>
        <w:spacing w:after="0" w:line="240" w:lineRule="auto"/>
        <w:rPr>
          <w:iCs/>
        </w:rPr>
      </w:pPr>
      <w:r>
        <w:rPr>
          <w:iCs/>
        </w:rPr>
        <w:t>Involving</w:t>
      </w:r>
      <w:r w:rsidR="00DC1CA7" w:rsidRPr="000A091D">
        <w:rPr>
          <w:iCs/>
        </w:rPr>
        <w:t xml:space="preserve"> </w:t>
      </w:r>
      <w:r>
        <w:rPr>
          <w:iCs/>
        </w:rPr>
        <w:t xml:space="preserve">people who are important to youth </w:t>
      </w:r>
      <w:r w:rsidR="00DC1CA7" w:rsidRPr="000A091D">
        <w:rPr>
          <w:iCs/>
        </w:rPr>
        <w:t>in</w:t>
      </w:r>
      <w:r w:rsidR="00262DCB" w:rsidRPr="000A091D">
        <w:rPr>
          <w:iCs/>
        </w:rPr>
        <w:t xml:space="preserve"> the  family’s current support team</w:t>
      </w:r>
    </w:p>
    <w:p w:rsidR="00262DCB" w:rsidRPr="000A091D" w:rsidRDefault="0075562F" w:rsidP="000A091D">
      <w:pPr>
        <w:pStyle w:val="ListParagraph"/>
        <w:numPr>
          <w:ilvl w:val="0"/>
          <w:numId w:val="16"/>
        </w:numPr>
        <w:spacing w:after="0" w:line="240" w:lineRule="auto"/>
        <w:rPr>
          <w:iCs/>
        </w:rPr>
      </w:pPr>
      <w:r>
        <w:rPr>
          <w:iCs/>
        </w:rPr>
        <w:t xml:space="preserve">Active searching </w:t>
      </w:r>
      <w:r w:rsidR="00262DCB" w:rsidRPr="000A091D">
        <w:rPr>
          <w:iCs/>
        </w:rPr>
        <w:t xml:space="preserve">for additional family members and community members that can provide </w:t>
      </w:r>
      <w:r w:rsidR="00504566">
        <w:rPr>
          <w:iCs/>
        </w:rPr>
        <w:t xml:space="preserve">(continued) </w:t>
      </w:r>
      <w:r w:rsidR="00262DCB" w:rsidRPr="000A091D">
        <w:rPr>
          <w:iCs/>
        </w:rPr>
        <w:t>support</w:t>
      </w:r>
      <w:r>
        <w:rPr>
          <w:iCs/>
        </w:rPr>
        <w:t xml:space="preserve"> to youth</w:t>
      </w:r>
    </w:p>
    <w:p w:rsidR="00262DCB" w:rsidRPr="000A091D" w:rsidRDefault="0075562F" w:rsidP="000A091D">
      <w:pPr>
        <w:pStyle w:val="ListParagraph"/>
        <w:numPr>
          <w:ilvl w:val="0"/>
          <w:numId w:val="16"/>
        </w:numPr>
        <w:spacing w:after="0" w:line="240" w:lineRule="auto"/>
        <w:rPr>
          <w:iCs/>
        </w:rPr>
      </w:pPr>
      <w:r>
        <w:rPr>
          <w:iCs/>
        </w:rPr>
        <w:t>Facilita</w:t>
      </w:r>
      <w:r w:rsidR="00504566">
        <w:rPr>
          <w:iCs/>
        </w:rPr>
        <w:t>ting</w:t>
      </w:r>
      <w:r w:rsidRPr="000A091D">
        <w:rPr>
          <w:iCs/>
        </w:rPr>
        <w:t xml:space="preserve"> </w:t>
      </w:r>
      <w:r>
        <w:rPr>
          <w:iCs/>
        </w:rPr>
        <w:t xml:space="preserve">the </w:t>
      </w:r>
      <w:r w:rsidR="00262DCB" w:rsidRPr="000A091D">
        <w:rPr>
          <w:iCs/>
        </w:rPr>
        <w:t>establish</w:t>
      </w:r>
      <w:r>
        <w:rPr>
          <w:iCs/>
        </w:rPr>
        <w:t>ment of</w:t>
      </w:r>
      <w:r w:rsidR="00262DCB" w:rsidRPr="000A091D">
        <w:rPr>
          <w:iCs/>
        </w:rPr>
        <w:t xml:space="preserve"> a </w:t>
      </w:r>
      <w:r w:rsidR="00E10AEE" w:rsidRPr="000A091D">
        <w:rPr>
          <w:iCs/>
        </w:rPr>
        <w:t>safety team/</w:t>
      </w:r>
      <w:r w:rsidR="00262DCB" w:rsidRPr="000A091D">
        <w:rPr>
          <w:iCs/>
        </w:rPr>
        <w:t xml:space="preserve">support network for </w:t>
      </w:r>
      <w:r w:rsidR="00504566">
        <w:rPr>
          <w:iCs/>
        </w:rPr>
        <w:t xml:space="preserve">youth </w:t>
      </w:r>
    </w:p>
    <w:p w:rsidR="00262DCB" w:rsidRPr="000A091D" w:rsidRDefault="0075562F" w:rsidP="000A091D">
      <w:pPr>
        <w:pStyle w:val="ListParagraph"/>
        <w:numPr>
          <w:ilvl w:val="0"/>
          <w:numId w:val="16"/>
        </w:numPr>
        <w:spacing w:after="0" w:line="240" w:lineRule="auto"/>
        <w:rPr>
          <w:iCs/>
        </w:rPr>
      </w:pPr>
      <w:r>
        <w:rPr>
          <w:iCs/>
        </w:rPr>
        <w:t>Providing support to</w:t>
      </w:r>
      <w:r w:rsidRPr="000A091D">
        <w:rPr>
          <w:iCs/>
        </w:rPr>
        <w:t xml:space="preserve"> </w:t>
      </w:r>
      <w:r w:rsidR="00262DCB" w:rsidRPr="000A091D">
        <w:rPr>
          <w:iCs/>
        </w:rPr>
        <w:t xml:space="preserve">the </w:t>
      </w:r>
      <w:r w:rsidR="00E10AEE" w:rsidRPr="000A091D">
        <w:rPr>
          <w:iCs/>
        </w:rPr>
        <w:t>safety team/s</w:t>
      </w:r>
      <w:r w:rsidR="00262DCB" w:rsidRPr="000A091D">
        <w:rPr>
          <w:iCs/>
        </w:rPr>
        <w:t xml:space="preserve">upport network and </w:t>
      </w:r>
      <w:r>
        <w:rPr>
          <w:iCs/>
        </w:rPr>
        <w:t xml:space="preserve">the </w:t>
      </w:r>
      <w:r w:rsidR="00262DCB" w:rsidRPr="000A091D">
        <w:rPr>
          <w:iCs/>
        </w:rPr>
        <w:t xml:space="preserve">family to </w:t>
      </w:r>
      <w:r w:rsidR="00E10AEE" w:rsidRPr="000A091D">
        <w:rPr>
          <w:iCs/>
        </w:rPr>
        <w:t>develop</w:t>
      </w:r>
      <w:r w:rsidR="00262DCB" w:rsidRPr="000A091D">
        <w:rPr>
          <w:iCs/>
        </w:rPr>
        <w:t xml:space="preserve"> </w:t>
      </w:r>
      <w:r w:rsidR="00E10AEE" w:rsidRPr="000A091D">
        <w:rPr>
          <w:iCs/>
        </w:rPr>
        <w:t xml:space="preserve">a plan </w:t>
      </w:r>
      <w:r>
        <w:rPr>
          <w:iCs/>
        </w:rPr>
        <w:t>that</w:t>
      </w:r>
      <w:r w:rsidRPr="000A091D">
        <w:rPr>
          <w:iCs/>
        </w:rPr>
        <w:t xml:space="preserve"> </w:t>
      </w:r>
      <w:r w:rsidR="00E10AEE" w:rsidRPr="000A091D">
        <w:rPr>
          <w:iCs/>
        </w:rPr>
        <w:t>address</w:t>
      </w:r>
      <w:r>
        <w:rPr>
          <w:iCs/>
        </w:rPr>
        <w:t>es</w:t>
      </w:r>
      <w:r w:rsidR="00E10AEE" w:rsidRPr="000A091D">
        <w:rPr>
          <w:iCs/>
        </w:rPr>
        <w:t xml:space="preserve"> the needs of th</w:t>
      </w:r>
      <w:r w:rsidR="00262DCB" w:rsidRPr="000A091D">
        <w:rPr>
          <w:iCs/>
        </w:rPr>
        <w:t xml:space="preserve">e </w:t>
      </w:r>
      <w:r w:rsidRPr="00194604">
        <w:rPr>
          <w:iCs/>
        </w:rPr>
        <w:t>youth</w:t>
      </w:r>
      <w:r w:rsidRPr="0075562F">
        <w:rPr>
          <w:iCs/>
        </w:rPr>
        <w:t xml:space="preserve"> </w:t>
      </w:r>
      <w:r w:rsidRPr="00C710F8">
        <w:rPr>
          <w:iCs/>
        </w:rPr>
        <w:t>and</w:t>
      </w:r>
      <w:r w:rsidR="00504566">
        <w:rPr>
          <w:iCs/>
        </w:rPr>
        <w:t xml:space="preserve"> their </w:t>
      </w:r>
      <w:r w:rsidR="00262DCB" w:rsidRPr="000A091D">
        <w:rPr>
          <w:iCs/>
        </w:rPr>
        <w:t xml:space="preserve">family </w:t>
      </w:r>
    </w:p>
    <w:p w:rsidR="002866A6" w:rsidRPr="006E70E8" w:rsidRDefault="002866A6" w:rsidP="000A091D">
      <w:pPr>
        <w:spacing w:after="0" w:line="240" w:lineRule="auto"/>
        <w:rPr>
          <w:b/>
          <w:iCs/>
        </w:rPr>
      </w:pPr>
      <w:r>
        <w:rPr>
          <w:b/>
          <w:iCs/>
        </w:rPr>
        <w:t xml:space="preserve">         </w:t>
      </w:r>
    </w:p>
    <w:p w:rsidR="002866A6" w:rsidRPr="006E70E8" w:rsidRDefault="002866A6" w:rsidP="006659DB">
      <w:pPr>
        <w:spacing w:after="0" w:line="240" w:lineRule="auto"/>
        <w:rPr>
          <w:b/>
          <w:bCs/>
          <w:color w:val="1F497D" w:themeColor="text2"/>
          <w:sz w:val="24"/>
        </w:rPr>
      </w:pPr>
      <w:r w:rsidRPr="006E70E8">
        <w:rPr>
          <w:b/>
          <w:bCs/>
          <w:color w:val="1F497D" w:themeColor="text2"/>
          <w:sz w:val="24"/>
        </w:rPr>
        <w:t>Permanence</w:t>
      </w:r>
    </w:p>
    <w:p w:rsidR="002866A6" w:rsidRDefault="00504566" w:rsidP="006659DB">
      <w:pPr>
        <w:spacing w:after="0" w:line="240" w:lineRule="auto"/>
      </w:pPr>
      <w:r>
        <w:t>Family p</w:t>
      </w:r>
      <w:r w:rsidR="002866A6">
        <w:t>ermanen</w:t>
      </w:r>
      <w:r>
        <w:t>ce</w:t>
      </w:r>
      <w:r w:rsidR="002866A6">
        <w:t xml:space="preserve"> </w:t>
      </w:r>
      <w:r>
        <w:t>i</w:t>
      </w:r>
      <w:r w:rsidR="002866A6">
        <w:t>s one of the</w:t>
      </w:r>
      <w:r w:rsidR="002866A6" w:rsidRPr="0097092D">
        <w:t xml:space="preserve"> </w:t>
      </w:r>
      <w:r w:rsidR="002866A6">
        <w:t xml:space="preserve">three </w:t>
      </w:r>
      <w:r w:rsidR="002866A6" w:rsidRPr="0097092D">
        <w:t>primary goal</w:t>
      </w:r>
      <w:r w:rsidR="002866A6">
        <w:t>s</w:t>
      </w:r>
      <w:r w:rsidR="002866A6" w:rsidRPr="0097092D">
        <w:t xml:space="preserve"> for </w:t>
      </w:r>
      <w:r w:rsidR="002866A6">
        <w:t xml:space="preserve">children and youth </w:t>
      </w:r>
      <w:r w:rsidR="00045629">
        <w:t xml:space="preserve">in the child </w:t>
      </w:r>
      <w:r>
        <w:t xml:space="preserve">welfare </w:t>
      </w:r>
      <w:r w:rsidR="00045629">
        <w:t>and juvenile justice system</w:t>
      </w:r>
      <w:r>
        <w:t>s</w:t>
      </w:r>
      <w:r w:rsidR="002866A6">
        <w:t xml:space="preserve">. </w:t>
      </w:r>
      <w:r w:rsidR="002924D8">
        <w:t>The</w:t>
      </w:r>
      <w:r w:rsidR="002866A6">
        <w:t xml:space="preserve"> practice of FFE supports the realization of permanency by ensuring that</w:t>
      </w:r>
      <w:r w:rsidR="002866A6" w:rsidRPr="0097092D">
        <w:t xml:space="preserve"> all children have stable and </w:t>
      </w:r>
      <w:r w:rsidR="008C7A6F" w:rsidRPr="0097092D">
        <w:t>nurturing</w:t>
      </w:r>
      <w:r>
        <w:t>,</w:t>
      </w:r>
      <w:r w:rsidR="008C7A6F" w:rsidRPr="0097092D">
        <w:t xml:space="preserve"> </w:t>
      </w:r>
      <w:r w:rsidR="008C7A6F" w:rsidRPr="0097092D" w:rsidDel="00BC16B8">
        <w:t>formal</w:t>
      </w:r>
      <w:r w:rsidR="002866A6" w:rsidRPr="0097092D" w:rsidDel="00BC16B8">
        <w:t xml:space="preserve"> and informal</w:t>
      </w:r>
      <w:r>
        <w:t>,</w:t>
      </w:r>
      <w:r w:rsidR="002866A6" w:rsidRPr="0097092D" w:rsidDel="00BC16B8">
        <w:t xml:space="preserve"> r</w:t>
      </w:r>
      <w:r w:rsidR="002866A6" w:rsidRPr="0097092D">
        <w:t>elationships with adult</w:t>
      </w:r>
      <w:r w:rsidR="002866A6">
        <w:t>s</w:t>
      </w:r>
      <w:r w:rsidR="002866A6" w:rsidRPr="0097092D">
        <w:t xml:space="preserve"> tha</w:t>
      </w:r>
      <w:r w:rsidR="002866A6">
        <w:t>t</w:t>
      </w:r>
      <w:r w:rsidR="002866A6" w:rsidRPr="0097092D">
        <w:t xml:space="preserve"> endure over time.</w:t>
      </w:r>
      <w:r w:rsidR="002866A6" w:rsidRPr="0097092D">
        <w:rPr>
          <w:b/>
        </w:rPr>
        <w:t xml:space="preserve"> </w:t>
      </w:r>
      <w:r w:rsidR="002866A6" w:rsidRPr="0097092D">
        <w:t xml:space="preserve">It is imperative that permanency planning occurs the moment a child enters the child welfare system in </w:t>
      </w:r>
      <w:r w:rsidR="002866A6" w:rsidRPr="0097092D">
        <w:lastRenderedPageBreak/>
        <w:t xml:space="preserve">order to prevent children </w:t>
      </w:r>
      <w:r w:rsidR="0009746F">
        <w:t xml:space="preserve">from </w:t>
      </w:r>
      <w:r w:rsidR="002866A6" w:rsidRPr="0097092D">
        <w:t>languishing in foster care. Numerous studies have demonstrated that</w:t>
      </w:r>
      <w:r w:rsidR="002866A6">
        <w:t xml:space="preserve"> children</w:t>
      </w:r>
      <w:r w:rsidR="002866A6" w:rsidRPr="0097092D">
        <w:t xml:space="preserve"> who age out of the foster care system </w:t>
      </w:r>
      <w:r w:rsidR="004B71BC">
        <w:t xml:space="preserve">and who are </w:t>
      </w:r>
      <w:r w:rsidR="002866A6" w:rsidRPr="0097092D">
        <w:t xml:space="preserve">without a lifelong connection to a </w:t>
      </w:r>
      <w:r w:rsidR="002866A6" w:rsidRPr="006659DB">
        <w:t xml:space="preserve">committed adult or permanent legal </w:t>
      </w:r>
      <w:r w:rsidR="004B71BC" w:rsidRPr="006659DB">
        <w:t>family</w:t>
      </w:r>
      <w:r w:rsidR="002866A6" w:rsidRPr="006659DB">
        <w:t xml:space="preserve"> face significant challenges, hardships and adverse situations</w:t>
      </w:r>
      <w:r w:rsidR="008C7A6F" w:rsidRPr="006659DB">
        <w:rPr>
          <w:rStyle w:val="FootnoteReference"/>
        </w:rPr>
        <w:footnoteReference w:id="1"/>
      </w:r>
      <w:r w:rsidR="002866A6" w:rsidRPr="006659DB">
        <w:t>.</w:t>
      </w:r>
      <w:r w:rsidR="002866A6" w:rsidRPr="0097092D">
        <w:t xml:space="preserve"> Without the financial </w:t>
      </w:r>
      <w:r w:rsidR="002866A6">
        <w:t xml:space="preserve">and emotional support of a permanent family </w:t>
      </w:r>
      <w:r w:rsidR="002866A6" w:rsidDel="00A50EE6">
        <w:t>network</w:t>
      </w:r>
      <w:r w:rsidR="002866A6">
        <w:t xml:space="preserve">, it is no surprise that these young people struggle to live independently.  </w:t>
      </w:r>
      <w:r w:rsidR="002866A6" w:rsidRPr="00772CA7">
        <w:t xml:space="preserve">Permanency for </w:t>
      </w:r>
      <w:r w:rsidR="002866A6">
        <w:t xml:space="preserve">children </w:t>
      </w:r>
      <w:r w:rsidR="002866A6" w:rsidRPr="00772CA7">
        <w:t xml:space="preserve">in foster care should </w:t>
      </w:r>
      <w:r w:rsidR="002866A6">
        <w:t xml:space="preserve">not </w:t>
      </w:r>
      <w:r w:rsidR="002866A6" w:rsidRPr="00772CA7">
        <w:t xml:space="preserve">be defined </w:t>
      </w:r>
      <w:r w:rsidR="002866A6">
        <w:t>by</w:t>
      </w:r>
      <w:r w:rsidR="002866A6" w:rsidRPr="00772CA7">
        <w:t xml:space="preserve"> </w:t>
      </w:r>
      <w:r w:rsidR="002866A6">
        <w:t xml:space="preserve">the length </w:t>
      </w:r>
      <w:r w:rsidR="004B71BC">
        <w:t xml:space="preserve">of placement </w:t>
      </w:r>
      <w:r w:rsidR="002866A6">
        <w:t xml:space="preserve">or success of </w:t>
      </w:r>
      <w:r w:rsidR="002866A6" w:rsidRPr="00772CA7">
        <w:t>placement</w:t>
      </w:r>
      <w:r w:rsidR="002866A6">
        <w:t>,</w:t>
      </w:r>
      <w:r w:rsidR="002866A6" w:rsidRPr="00772CA7">
        <w:t xml:space="preserve"> but</w:t>
      </w:r>
      <w:r w:rsidR="002866A6">
        <w:t xml:space="preserve"> rather</w:t>
      </w:r>
      <w:r w:rsidR="002866A6" w:rsidRPr="00772CA7">
        <w:t xml:space="preserve"> </w:t>
      </w:r>
      <w:r w:rsidR="002866A6">
        <w:t xml:space="preserve">by </w:t>
      </w:r>
      <w:r w:rsidR="004B71BC">
        <w:t xml:space="preserve">the quality of </w:t>
      </w:r>
      <w:r w:rsidR="00EB02B3" w:rsidRPr="00772CA7">
        <w:t xml:space="preserve">caring </w:t>
      </w:r>
      <w:r w:rsidR="002866A6" w:rsidRPr="00772CA7">
        <w:t xml:space="preserve">relationships and </w:t>
      </w:r>
      <w:r w:rsidR="004B71BC">
        <w:t xml:space="preserve">depth of </w:t>
      </w:r>
      <w:r w:rsidR="002866A6" w:rsidRPr="00772CA7">
        <w:t xml:space="preserve">connections </w:t>
      </w:r>
      <w:r w:rsidR="002866A6">
        <w:t>a child</w:t>
      </w:r>
      <w:r w:rsidR="002866A6" w:rsidRPr="00772CA7">
        <w:t xml:space="preserve"> ha</w:t>
      </w:r>
      <w:r w:rsidR="002866A6">
        <w:t>s</w:t>
      </w:r>
      <w:r w:rsidR="004E6AEB">
        <w:t xml:space="preserve"> with </w:t>
      </w:r>
      <w:r w:rsidR="00EB02B3" w:rsidRPr="00772CA7">
        <w:t>supportive adults</w:t>
      </w:r>
      <w:r w:rsidR="00EB02B3">
        <w:t xml:space="preserve"> </w:t>
      </w:r>
      <w:r w:rsidR="002866A6" w:rsidRPr="00772CA7">
        <w:t>with</w:t>
      </w:r>
      <w:r w:rsidR="00EB02B3">
        <w:t xml:space="preserve"> </w:t>
      </w:r>
      <w:r w:rsidR="004B71BC">
        <w:t>whose support</w:t>
      </w:r>
      <w:r w:rsidR="002866A6" w:rsidRPr="00D138D7">
        <w:rPr>
          <w:b/>
          <w:sz w:val="32"/>
        </w:rPr>
        <w:t xml:space="preserve"> last</w:t>
      </w:r>
      <w:r w:rsidR="004B71BC">
        <w:rPr>
          <w:b/>
          <w:sz w:val="32"/>
        </w:rPr>
        <w:t>s</w:t>
      </w:r>
      <w:r w:rsidR="002866A6" w:rsidRPr="00D138D7">
        <w:rPr>
          <w:b/>
          <w:sz w:val="32"/>
        </w:rPr>
        <w:t xml:space="preserve"> a lifetime</w:t>
      </w:r>
      <w:r w:rsidR="002866A6">
        <w:rPr>
          <w:b/>
          <w:sz w:val="32"/>
        </w:rPr>
        <w:t xml:space="preserve">. </w:t>
      </w:r>
      <w:r w:rsidR="002866A6" w:rsidRPr="00D138D7">
        <w:rPr>
          <w:b/>
          <w:sz w:val="32"/>
        </w:rPr>
        <w:t xml:space="preserve"> </w:t>
      </w:r>
      <w:r w:rsidR="002866A6" w:rsidDel="00A50EE6">
        <w:t xml:space="preserve"> </w:t>
      </w:r>
      <w:r w:rsidR="004E6AEB">
        <w:t>A</w:t>
      </w:r>
      <w:r w:rsidR="004E6AEB" w:rsidDel="00A50EE6">
        <w:t xml:space="preserve"> significant and essential advance toward establishing permanency </w:t>
      </w:r>
      <w:r w:rsidR="004E6AEB">
        <w:t>includes m</w:t>
      </w:r>
      <w:r w:rsidR="002866A6" w:rsidDel="00A50EE6">
        <w:t>axim</w:t>
      </w:r>
      <w:r w:rsidR="00DF369E">
        <w:t>izing the</w:t>
      </w:r>
      <w:r w:rsidR="002866A6" w:rsidDel="00A50EE6">
        <w:t xml:space="preserve"> number of </w:t>
      </w:r>
      <w:r w:rsidR="00D925DB">
        <w:t>enduring</w:t>
      </w:r>
      <w:r w:rsidR="002866A6" w:rsidDel="00A50EE6">
        <w:t xml:space="preserve"> connections </w:t>
      </w:r>
      <w:r w:rsidR="004E6AEB">
        <w:t>between children and youth and</w:t>
      </w:r>
      <w:r w:rsidR="004E6AEB" w:rsidDel="00A50EE6">
        <w:t xml:space="preserve"> </w:t>
      </w:r>
      <w:r w:rsidR="002866A6" w:rsidDel="00A50EE6">
        <w:t>their own extended family support network</w:t>
      </w:r>
      <w:r w:rsidR="004E6AEB">
        <w:t>.  C</w:t>
      </w:r>
      <w:r w:rsidR="002866A6">
        <w:t>hild</w:t>
      </w:r>
      <w:r w:rsidR="004E6AEB">
        <w:t xml:space="preserve">ren are </w:t>
      </w:r>
      <w:r w:rsidR="002866A6">
        <w:t xml:space="preserve">fully engaged in </w:t>
      </w:r>
      <w:r w:rsidR="004E6AEB">
        <w:t xml:space="preserve">the FFE </w:t>
      </w:r>
      <w:r w:rsidR="002866A6">
        <w:t>process</w:t>
      </w:r>
      <w:r w:rsidR="002866A6" w:rsidDel="00A50EE6">
        <w:t>.</w:t>
      </w:r>
    </w:p>
    <w:p w:rsidR="006659DB" w:rsidRPr="00231BCB" w:rsidRDefault="006659DB" w:rsidP="006659DB">
      <w:pPr>
        <w:spacing w:after="0" w:line="240" w:lineRule="auto"/>
        <w:rPr>
          <w:b/>
          <w:bCs/>
          <w:color w:val="0070C0"/>
          <w:sz w:val="24"/>
        </w:rPr>
      </w:pPr>
    </w:p>
    <w:p w:rsidR="002866A6" w:rsidRPr="006E70E8" w:rsidRDefault="002866A6" w:rsidP="006659DB">
      <w:pPr>
        <w:pStyle w:val="ListParagraph"/>
        <w:spacing w:after="0" w:line="240" w:lineRule="auto"/>
        <w:ind w:hanging="720"/>
        <w:rPr>
          <w:color w:val="1F497D" w:themeColor="text2"/>
          <w:sz w:val="24"/>
        </w:rPr>
      </w:pPr>
      <w:r w:rsidRPr="006E70E8">
        <w:rPr>
          <w:b/>
          <w:bCs/>
          <w:color w:val="1F497D" w:themeColor="text2"/>
          <w:sz w:val="24"/>
        </w:rPr>
        <w:t>Costs and Benefits</w:t>
      </w:r>
    </w:p>
    <w:p w:rsidR="002866A6" w:rsidRDefault="002866A6" w:rsidP="006659DB">
      <w:pPr>
        <w:spacing w:after="0" w:line="240" w:lineRule="auto"/>
      </w:pPr>
      <w:r>
        <w:t xml:space="preserve">Although implementing FFE practices may result in some additional upfront costs, counties that have implemented FFE have found </w:t>
      </w:r>
      <w:r w:rsidR="00CF575E">
        <w:t xml:space="preserve">overall </w:t>
      </w:r>
      <w:r>
        <w:t xml:space="preserve">long-term cost savings by connecting children to permanent </w:t>
      </w:r>
      <w:r w:rsidR="008C7A6F" w:rsidDel="00BC16B8">
        <w:t>lifelong</w:t>
      </w:r>
      <w:r w:rsidDel="00BC16B8">
        <w:t xml:space="preserve"> relationships</w:t>
      </w:r>
      <w:r>
        <w:t xml:space="preserve"> and relying less on out-of-home placement. In addition to cost savings, there are emotional and psychological benefits for children. Studies have shown that children that stay connected to their family members attain more positive outcomes than children </w:t>
      </w:r>
      <w:r w:rsidR="00CF575E">
        <w:t xml:space="preserve">who </w:t>
      </w:r>
      <w:r>
        <w:t xml:space="preserve">age out of the system. For example, an evaluation in Orange County showed </w:t>
      </w:r>
      <w:r w:rsidRPr="006659DB">
        <w:t>significant improvements in foster youth’s social and emotional measures as a result of becoming connected with family</w:t>
      </w:r>
      <w:r w:rsidR="006E70E8" w:rsidRPr="006659DB">
        <w:rPr>
          <w:rStyle w:val="FootnoteReference"/>
        </w:rPr>
        <w:footnoteReference w:id="2"/>
      </w:r>
      <w:r w:rsidRPr="006659DB">
        <w:t>.</w:t>
      </w:r>
      <w:r>
        <w:t xml:space="preserve"> </w:t>
      </w:r>
    </w:p>
    <w:p w:rsidR="006659DB" w:rsidRDefault="006659DB" w:rsidP="006659DB">
      <w:pPr>
        <w:spacing w:after="0" w:line="240" w:lineRule="auto"/>
        <w:rPr>
          <w:b/>
          <w:bCs/>
        </w:rPr>
      </w:pPr>
    </w:p>
    <w:p w:rsidR="002866A6" w:rsidRPr="006E70E8" w:rsidRDefault="002866A6" w:rsidP="006659DB">
      <w:pPr>
        <w:spacing w:after="0" w:line="240" w:lineRule="auto"/>
        <w:rPr>
          <w:b/>
          <w:bCs/>
          <w:color w:val="1F497D" w:themeColor="text2"/>
          <w:sz w:val="24"/>
        </w:rPr>
      </w:pPr>
      <w:r w:rsidRPr="006E70E8">
        <w:rPr>
          <w:b/>
          <w:bCs/>
          <w:color w:val="1F497D" w:themeColor="text2"/>
          <w:sz w:val="24"/>
        </w:rPr>
        <w:t>Effectiveness: Everyone Must Support FFE</w:t>
      </w:r>
    </w:p>
    <w:p w:rsidR="002866A6" w:rsidRDefault="002866A6" w:rsidP="006659DB">
      <w:pPr>
        <w:spacing w:after="0" w:line="240" w:lineRule="auto"/>
        <w:rPr>
          <w:bCs/>
        </w:rPr>
      </w:pPr>
      <w:r w:rsidRPr="00EC1483">
        <w:rPr>
          <w:bCs/>
        </w:rPr>
        <w:t>Successful implementation of FFE requires a significant change in culture and belief systems among various stakeholders.  Leadership from each stakeholder perspective plays a vital role in the effective implementation and sustainability of FFE.  All must support the urgency of implementing this practice in order to better meet the needs</w:t>
      </w:r>
      <w:r w:rsidR="0009746F">
        <w:rPr>
          <w:bCs/>
        </w:rPr>
        <w:t xml:space="preserve"> and improve the permanency outcomes of</w:t>
      </w:r>
      <w:r w:rsidRPr="00EC1483">
        <w:rPr>
          <w:bCs/>
        </w:rPr>
        <w:t xml:space="preserve"> children in the child welfare system.  </w:t>
      </w:r>
      <w:r w:rsidR="0009746F">
        <w:rPr>
          <w:bCs/>
        </w:rPr>
        <w:t>Leadership from all stakeholders</w:t>
      </w:r>
      <w:r w:rsidRPr="00EC1483">
        <w:rPr>
          <w:bCs/>
        </w:rPr>
        <w:t xml:space="preserve"> must jointly and publicly communicate expectations</w:t>
      </w:r>
      <w:r w:rsidR="0009746F">
        <w:rPr>
          <w:bCs/>
        </w:rPr>
        <w:t xml:space="preserve"> </w:t>
      </w:r>
      <w:r w:rsidR="00770195">
        <w:rPr>
          <w:bCs/>
        </w:rPr>
        <w:t>to perform</w:t>
      </w:r>
      <w:r w:rsidR="0009746F">
        <w:rPr>
          <w:bCs/>
        </w:rPr>
        <w:t xml:space="preserve"> FFE</w:t>
      </w:r>
      <w:r w:rsidRPr="00EC1483">
        <w:rPr>
          <w:bCs/>
        </w:rPr>
        <w:t>,</w:t>
      </w:r>
      <w:r w:rsidR="00191B58">
        <w:rPr>
          <w:bCs/>
        </w:rPr>
        <w:t xml:space="preserve"> and</w:t>
      </w:r>
      <w:r w:rsidRPr="00EC1483">
        <w:rPr>
          <w:bCs/>
        </w:rPr>
        <w:t xml:space="preserve"> establish accountability</w:t>
      </w:r>
      <w:r w:rsidR="00191B58">
        <w:rPr>
          <w:bCs/>
        </w:rPr>
        <w:t xml:space="preserve"> and sustainability mechanisms to support the work</w:t>
      </w:r>
      <w:r w:rsidR="00770195">
        <w:rPr>
          <w:bCs/>
        </w:rPr>
        <w:t>.</w:t>
      </w:r>
    </w:p>
    <w:p w:rsidR="006E70E8" w:rsidRDefault="006E70E8" w:rsidP="003D2E58">
      <w:pPr>
        <w:spacing w:after="0" w:line="240" w:lineRule="auto"/>
        <w:rPr>
          <w:bCs/>
        </w:rPr>
      </w:pPr>
    </w:p>
    <w:p w:rsidR="006E70E8" w:rsidRPr="000A091D" w:rsidRDefault="006E70E8" w:rsidP="002676B6">
      <w:pPr>
        <w:rPr>
          <w:b/>
          <w:bCs/>
          <w:noProof/>
          <w:color w:val="1F497D" w:themeColor="text2"/>
          <w:sz w:val="24"/>
          <w:szCs w:val="24"/>
        </w:rPr>
      </w:pPr>
      <w:r w:rsidRPr="000A091D">
        <w:rPr>
          <w:b/>
          <w:bCs/>
          <w:noProof/>
          <w:color w:val="1F497D" w:themeColor="text2"/>
          <w:sz w:val="24"/>
          <w:szCs w:val="24"/>
        </w:rPr>
        <w:t>Stakeholders</w:t>
      </w:r>
    </w:p>
    <w:p w:rsidR="002866A6" w:rsidRPr="000A091D" w:rsidRDefault="002866A6" w:rsidP="000A091D">
      <w:pPr>
        <w:pStyle w:val="ListParagraph"/>
        <w:numPr>
          <w:ilvl w:val="0"/>
          <w:numId w:val="17"/>
        </w:numPr>
        <w:spacing w:after="0" w:line="240" w:lineRule="auto"/>
        <w:rPr>
          <w:b/>
          <w:bCs/>
          <w:sz w:val="24"/>
        </w:rPr>
      </w:pPr>
      <w:r w:rsidRPr="000A091D">
        <w:rPr>
          <w:b/>
          <w:bCs/>
          <w:noProof/>
          <w:sz w:val="24"/>
        </w:rPr>
        <w:t>Judicial Officers</w:t>
      </w:r>
      <w:r w:rsidRPr="000A091D">
        <w:rPr>
          <w:b/>
          <w:bCs/>
          <w:sz w:val="24"/>
        </w:rPr>
        <w:t xml:space="preserve"> </w:t>
      </w:r>
    </w:p>
    <w:p w:rsidR="00E678CD" w:rsidRDefault="002866A6" w:rsidP="000A091D">
      <w:pPr>
        <w:pStyle w:val="ListParagraph"/>
        <w:spacing w:after="0" w:line="240" w:lineRule="auto"/>
      </w:pPr>
      <w:r>
        <w:t>Judges have the unique “power of the robe” to</w:t>
      </w:r>
      <w:r w:rsidR="00DE4F95">
        <w:t xml:space="preserve"> make an initial determination as to</w:t>
      </w:r>
      <w:r>
        <w:t xml:space="preserve"> </w:t>
      </w:r>
      <w:r w:rsidR="00DE4F95">
        <w:t xml:space="preserve">whether reasonable efforts to prevent removal have been made, </w:t>
      </w:r>
      <w:r>
        <w:t xml:space="preserve">set the expectation that Family Finding and Engagement practices will be employed, and that evidence of such efforts will be presented to the court for review. </w:t>
      </w:r>
      <w:r w:rsidR="00E678CD">
        <w:t xml:space="preserve">For example, the court must ensure that relatives to the 5th degree are notified when a youth comes into care (Welf. &amp; Inst. Code §309, 628(d), Cal. Rule of Court 5.637, 5.695(e)(f)) or the court can seek evidence of implementation of visitation plans that support the FEE process. </w:t>
      </w:r>
    </w:p>
    <w:p w:rsidR="006659DB" w:rsidRDefault="006659DB" w:rsidP="006659DB">
      <w:pPr>
        <w:spacing w:after="0" w:line="240" w:lineRule="auto"/>
      </w:pPr>
    </w:p>
    <w:p w:rsidR="002866A6" w:rsidRPr="006659DB" w:rsidRDefault="002866A6" w:rsidP="000A091D">
      <w:pPr>
        <w:pStyle w:val="ListParagraph"/>
        <w:numPr>
          <w:ilvl w:val="0"/>
          <w:numId w:val="17"/>
        </w:numPr>
        <w:spacing w:after="0" w:line="240" w:lineRule="auto"/>
      </w:pPr>
      <w:r w:rsidRPr="000A091D">
        <w:rPr>
          <w:b/>
          <w:bCs/>
          <w:sz w:val="24"/>
        </w:rPr>
        <w:t>Child Welfare Professionals</w:t>
      </w:r>
    </w:p>
    <w:p w:rsidR="002866A6" w:rsidRPr="00CF575E" w:rsidRDefault="002866A6" w:rsidP="000A091D">
      <w:pPr>
        <w:pStyle w:val="ListParagraph"/>
        <w:spacing w:after="0" w:line="240" w:lineRule="auto"/>
        <w:rPr>
          <w:bCs/>
        </w:rPr>
      </w:pPr>
      <w:r w:rsidRPr="00CF575E">
        <w:rPr>
          <w:bCs/>
        </w:rPr>
        <w:t>Child Welfare Workers have a critical role in FFE practice including but not limited to</w:t>
      </w:r>
      <w:r w:rsidR="006E70E8" w:rsidRPr="00CF575E">
        <w:rPr>
          <w:bCs/>
        </w:rPr>
        <w:t>:</w:t>
      </w:r>
      <w:r w:rsidRPr="00CF575E">
        <w:rPr>
          <w:bCs/>
        </w:rPr>
        <w:t xml:space="preserve"> meaningful</w:t>
      </w:r>
      <w:r w:rsidR="006E70E8" w:rsidRPr="00CF575E">
        <w:rPr>
          <w:bCs/>
        </w:rPr>
        <w:t xml:space="preserve"> engagement </w:t>
      </w:r>
      <w:r w:rsidR="00C61304" w:rsidRPr="00CF575E">
        <w:rPr>
          <w:bCs/>
        </w:rPr>
        <w:t xml:space="preserve">with </w:t>
      </w:r>
      <w:r w:rsidR="006E70E8" w:rsidRPr="00CF575E">
        <w:rPr>
          <w:bCs/>
        </w:rPr>
        <w:t>the child throughout</w:t>
      </w:r>
      <w:r w:rsidRPr="00CF575E">
        <w:rPr>
          <w:bCs/>
        </w:rPr>
        <w:t xml:space="preserve"> t</w:t>
      </w:r>
      <w:r w:rsidR="006E70E8" w:rsidRPr="00CF575E">
        <w:rPr>
          <w:bCs/>
        </w:rPr>
        <w:t xml:space="preserve">he process, </w:t>
      </w:r>
      <w:r w:rsidR="00770195" w:rsidRPr="00CF575E">
        <w:rPr>
          <w:bCs/>
        </w:rPr>
        <w:t>diligent searching</w:t>
      </w:r>
      <w:r w:rsidR="006E70E8" w:rsidRPr="00CF575E">
        <w:rPr>
          <w:bCs/>
        </w:rPr>
        <w:t xml:space="preserve"> for family members, assist</w:t>
      </w:r>
      <w:r w:rsidR="00191B58" w:rsidRPr="00CF575E">
        <w:rPr>
          <w:bCs/>
        </w:rPr>
        <w:t>ing</w:t>
      </w:r>
      <w:r w:rsidRPr="00CF575E">
        <w:rPr>
          <w:bCs/>
        </w:rPr>
        <w:t xml:space="preserve"> in forming an </w:t>
      </w:r>
      <w:r w:rsidR="00770195" w:rsidRPr="00CF575E">
        <w:rPr>
          <w:bCs/>
        </w:rPr>
        <w:t>enduring support network</w:t>
      </w:r>
      <w:r w:rsidR="00191B58" w:rsidRPr="00CF575E">
        <w:rPr>
          <w:bCs/>
        </w:rPr>
        <w:t xml:space="preserve"> for a child</w:t>
      </w:r>
      <w:r w:rsidR="006E70E8" w:rsidRPr="00CF575E">
        <w:rPr>
          <w:bCs/>
        </w:rPr>
        <w:t>,</w:t>
      </w:r>
      <w:r w:rsidRPr="00CF575E">
        <w:rPr>
          <w:bCs/>
        </w:rPr>
        <w:t xml:space="preserve"> and sustaining a sense of urgency for each child </w:t>
      </w:r>
      <w:r w:rsidR="00CE08DB" w:rsidRPr="00CF575E">
        <w:rPr>
          <w:bCs/>
        </w:rPr>
        <w:t>beginning with the first call, a</w:t>
      </w:r>
      <w:r w:rsidR="00D74C6C" w:rsidRPr="00CF575E">
        <w:rPr>
          <w:bCs/>
        </w:rPr>
        <w:t>s mandated</w:t>
      </w:r>
      <w:r w:rsidR="00CF575E">
        <w:rPr>
          <w:bCs/>
        </w:rPr>
        <w:t xml:space="preserve"> by law</w:t>
      </w:r>
      <w:r w:rsidR="00CE08DB" w:rsidRPr="00CF575E">
        <w:rPr>
          <w:bCs/>
        </w:rPr>
        <w:t>.</w:t>
      </w:r>
    </w:p>
    <w:p w:rsidR="006659DB" w:rsidRPr="00EC1483" w:rsidRDefault="006659DB" w:rsidP="000A091D">
      <w:pPr>
        <w:spacing w:after="0" w:line="240" w:lineRule="auto"/>
        <w:jc w:val="center"/>
        <w:rPr>
          <w:bCs/>
        </w:rPr>
      </w:pPr>
    </w:p>
    <w:p w:rsidR="002866A6" w:rsidRPr="000A091D" w:rsidRDefault="002866A6" w:rsidP="000A091D">
      <w:pPr>
        <w:pStyle w:val="ListParagraph"/>
        <w:numPr>
          <w:ilvl w:val="0"/>
          <w:numId w:val="17"/>
        </w:numPr>
        <w:spacing w:after="0" w:line="240" w:lineRule="auto"/>
        <w:rPr>
          <w:b/>
          <w:bCs/>
          <w:sz w:val="24"/>
        </w:rPr>
      </w:pPr>
      <w:r w:rsidRPr="000A091D">
        <w:rPr>
          <w:b/>
          <w:bCs/>
          <w:sz w:val="24"/>
        </w:rPr>
        <w:t>Court Appointed Special Advocates (CASA)</w:t>
      </w:r>
    </w:p>
    <w:p w:rsidR="002866A6" w:rsidRDefault="002866A6" w:rsidP="000A091D">
      <w:pPr>
        <w:pStyle w:val="ListParagraph"/>
        <w:spacing w:after="0" w:line="240" w:lineRule="auto"/>
      </w:pPr>
      <w:r>
        <w:t xml:space="preserve">CASAs advocate for the best interests of the child, which always include a permanent home and </w:t>
      </w:r>
      <w:r w:rsidRPr="000A091D" w:rsidDel="00A50EE6">
        <w:t>connection</w:t>
      </w:r>
      <w:r w:rsidRPr="00CF575E" w:rsidDel="00A50EE6">
        <w:rPr>
          <w:sz w:val="32"/>
        </w:rPr>
        <w:t xml:space="preserve"> </w:t>
      </w:r>
      <w:r>
        <w:t xml:space="preserve">to family. CASAs can </w:t>
      </w:r>
      <w:r w:rsidR="00191B58">
        <w:t>voice</w:t>
      </w:r>
      <w:r>
        <w:t xml:space="preserve"> the perspective of the child in the process and use their unique relationship with the child and family to elicit more information about extended family members and other relationships that may be important in developing a </w:t>
      </w:r>
      <w:r w:rsidR="00DF369E">
        <w:t xml:space="preserve">Safety Team and a </w:t>
      </w:r>
      <w:r>
        <w:t xml:space="preserve">Lifetime Family Support Network. </w:t>
      </w:r>
      <w:r w:rsidRPr="00F65627">
        <w:t xml:space="preserve">Some CASA programs in California successfully operate </w:t>
      </w:r>
      <w:r w:rsidR="006E70E8">
        <w:t>FFE</w:t>
      </w:r>
      <w:r w:rsidRPr="00F65627">
        <w:t xml:space="preserve"> </w:t>
      </w:r>
      <w:r>
        <w:t>p</w:t>
      </w:r>
      <w:r w:rsidRPr="00F65627">
        <w:t>rograms in cooperatio</w:t>
      </w:r>
      <w:r>
        <w:t xml:space="preserve">n with the court and </w:t>
      </w:r>
      <w:r w:rsidRPr="00F65627">
        <w:t>child welfare agency.</w:t>
      </w:r>
    </w:p>
    <w:p w:rsidR="006659DB" w:rsidRDefault="006659DB" w:rsidP="006659DB">
      <w:pPr>
        <w:spacing w:after="0" w:line="240" w:lineRule="auto"/>
      </w:pPr>
    </w:p>
    <w:p w:rsidR="002866A6" w:rsidRPr="000A091D" w:rsidRDefault="002866A6" w:rsidP="000A091D">
      <w:pPr>
        <w:pStyle w:val="ListParagraph"/>
        <w:numPr>
          <w:ilvl w:val="0"/>
          <w:numId w:val="17"/>
        </w:numPr>
        <w:spacing w:after="0" w:line="240" w:lineRule="auto"/>
        <w:rPr>
          <w:b/>
          <w:sz w:val="24"/>
        </w:rPr>
      </w:pPr>
      <w:r w:rsidRPr="000A091D">
        <w:rPr>
          <w:b/>
          <w:sz w:val="24"/>
        </w:rPr>
        <w:t>Caregivers</w:t>
      </w:r>
    </w:p>
    <w:p w:rsidR="002866A6" w:rsidRDefault="002866A6" w:rsidP="000A091D">
      <w:pPr>
        <w:pStyle w:val="ListParagraph"/>
        <w:spacing w:after="0" w:line="240" w:lineRule="auto"/>
      </w:pPr>
      <w:r w:rsidRPr="00EC1483">
        <w:t>Caregivers, including foster parents, group home and residential treatment providers</w:t>
      </w:r>
      <w:r w:rsidR="006E70E8">
        <w:t>,</w:t>
      </w:r>
      <w:r w:rsidRPr="00EC1483">
        <w:t xml:space="preserve"> and relative caregivers, play an essential role in supporting the child and family members through the FFE process by facilitating visitation and</w:t>
      </w:r>
      <w:r>
        <w:t xml:space="preserve"> </w:t>
      </w:r>
      <w:r w:rsidRPr="00EC1483">
        <w:t xml:space="preserve">addressing grief and loss issues.  Relative caregivers can play a key role in engaging other family members in becoming an effective </w:t>
      </w:r>
      <w:r w:rsidR="00DF369E">
        <w:t>Safety Team/</w:t>
      </w:r>
      <w:r w:rsidRPr="00EC1483">
        <w:t>Lifetime Family Support Network member. This collaboration and inclusive forward thinking approach is invaluable in the FFE process.</w:t>
      </w:r>
    </w:p>
    <w:p w:rsidR="006659DB" w:rsidRPr="00EC1483" w:rsidRDefault="006659DB" w:rsidP="006659DB">
      <w:pPr>
        <w:spacing w:after="0" w:line="240" w:lineRule="auto"/>
      </w:pPr>
    </w:p>
    <w:p w:rsidR="00CF575E" w:rsidRPr="000A091D" w:rsidRDefault="002866A6" w:rsidP="000A091D">
      <w:pPr>
        <w:pStyle w:val="ListParagraph"/>
        <w:numPr>
          <w:ilvl w:val="0"/>
          <w:numId w:val="17"/>
        </w:numPr>
        <w:spacing w:after="0" w:line="240" w:lineRule="auto"/>
        <w:rPr>
          <w:b/>
          <w:bCs/>
          <w:sz w:val="24"/>
        </w:rPr>
      </w:pPr>
      <w:r w:rsidRPr="000A091D">
        <w:rPr>
          <w:b/>
          <w:bCs/>
          <w:sz w:val="24"/>
        </w:rPr>
        <w:t>Attorneys</w:t>
      </w:r>
    </w:p>
    <w:p w:rsidR="006659DB" w:rsidRDefault="002866A6" w:rsidP="000A091D">
      <w:pPr>
        <w:pStyle w:val="ListParagraph"/>
        <w:numPr>
          <w:ilvl w:val="1"/>
          <w:numId w:val="17"/>
        </w:numPr>
        <w:spacing w:after="0" w:line="240" w:lineRule="auto"/>
      </w:pPr>
      <w:r>
        <w:t>Parents’ attorneys can use their access to their clients to help pave the road to successful reunification by elicit</w:t>
      </w:r>
      <w:r w:rsidR="002C5AC3">
        <w:t>ing</w:t>
      </w:r>
      <w:r>
        <w:t xml:space="preserve"> names of extended family members who may support them, the child, and the reunification process.  In addition, father’s attorneys in particular can play a critical role in elevating the father’s voice in court</w:t>
      </w:r>
      <w:r w:rsidR="002C5AC3">
        <w:t xml:space="preserve"> and ensuring that paternal relatives are identified and engaged</w:t>
      </w:r>
      <w:r w:rsidR="006659DB">
        <w:t>.</w:t>
      </w:r>
    </w:p>
    <w:p w:rsidR="006659DB" w:rsidRDefault="006659DB" w:rsidP="000A091D">
      <w:pPr>
        <w:spacing w:after="0" w:line="240" w:lineRule="auto"/>
        <w:ind w:left="720"/>
      </w:pPr>
    </w:p>
    <w:p w:rsidR="006659DB" w:rsidRDefault="002866A6" w:rsidP="000A091D">
      <w:pPr>
        <w:pStyle w:val="ListParagraph"/>
        <w:numPr>
          <w:ilvl w:val="0"/>
          <w:numId w:val="18"/>
        </w:numPr>
        <w:spacing w:after="0" w:line="240" w:lineRule="auto"/>
        <w:ind w:left="1440"/>
      </w:pPr>
      <w:r>
        <w:t>Children’s attorneys can assist children in identifying family members and other supportive adults</w:t>
      </w:r>
      <w:r w:rsidR="002C5AC3">
        <w:t>, can participate in connectedness mapping, and can support the child throughout the FFE process.</w:t>
      </w:r>
      <w:r w:rsidDel="00A50EE6">
        <w:t xml:space="preserve"> </w:t>
      </w:r>
    </w:p>
    <w:p w:rsidR="006659DB" w:rsidRDefault="006659DB" w:rsidP="000A091D">
      <w:pPr>
        <w:spacing w:after="0" w:line="240" w:lineRule="auto"/>
        <w:ind w:left="1440" w:firstLine="45"/>
      </w:pPr>
    </w:p>
    <w:p w:rsidR="008C7A6F" w:rsidRDefault="002866A6" w:rsidP="000A091D">
      <w:pPr>
        <w:pStyle w:val="ListParagraph"/>
        <w:numPr>
          <w:ilvl w:val="0"/>
          <w:numId w:val="18"/>
        </w:numPr>
        <w:spacing w:after="0" w:line="240" w:lineRule="auto"/>
        <w:ind w:left="1440"/>
      </w:pPr>
      <w:r>
        <w:t xml:space="preserve">Agency attorneys </w:t>
      </w:r>
      <w:r w:rsidR="00D74C6C">
        <w:t xml:space="preserve">must </w:t>
      </w:r>
      <w:r w:rsidR="00DF369E">
        <w:t xml:space="preserve">ensure </w:t>
      </w:r>
      <w:r w:rsidR="00D74C6C">
        <w:t xml:space="preserve">that their client (SSA) is in compliance with </w:t>
      </w:r>
      <w:r w:rsidR="00833629">
        <w:t>the law</w:t>
      </w:r>
      <w:r w:rsidR="00D74C6C">
        <w:t xml:space="preserve"> and can </w:t>
      </w:r>
      <w:r>
        <w:t>use FFE to assist with concurrent planning</w:t>
      </w:r>
      <w:r w:rsidR="00C61304">
        <w:t>, visitation requirements, maintaining sibling contacts</w:t>
      </w:r>
      <w:r w:rsidR="00DE4F95">
        <w:t>,</w:t>
      </w:r>
      <w:r>
        <w:t xml:space="preserve"> and helping to ensure that children remain within their extended family if they cannot safely remain in the home. </w:t>
      </w:r>
    </w:p>
    <w:p w:rsidR="006659DB" w:rsidRDefault="006659DB" w:rsidP="006659DB">
      <w:pPr>
        <w:spacing w:after="0" w:line="240" w:lineRule="auto"/>
      </w:pPr>
    </w:p>
    <w:p w:rsidR="006659DB" w:rsidRPr="000A091D" w:rsidRDefault="002866A6" w:rsidP="000A091D">
      <w:pPr>
        <w:pStyle w:val="ListParagraph"/>
        <w:numPr>
          <w:ilvl w:val="0"/>
          <w:numId w:val="17"/>
        </w:numPr>
        <w:autoSpaceDE w:val="0"/>
        <w:autoSpaceDN w:val="0"/>
        <w:adjustRightInd w:val="0"/>
        <w:spacing w:after="0" w:line="240" w:lineRule="auto"/>
        <w:rPr>
          <w:b/>
          <w:sz w:val="24"/>
          <w:szCs w:val="24"/>
        </w:rPr>
      </w:pPr>
      <w:r w:rsidRPr="000A091D">
        <w:rPr>
          <w:b/>
          <w:sz w:val="24"/>
          <w:szCs w:val="24"/>
        </w:rPr>
        <w:t xml:space="preserve">Behavioral </w:t>
      </w:r>
      <w:r w:rsidR="006E70E8" w:rsidRPr="000A091D">
        <w:rPr>
          <w:b/>
          <w:sz w:val="24"/>
          <w:szCs w:val="24"/>
        </w:rPr>
        <w:t>Health</w:t>
      </w:r>
      <w:r w:rsidRPr="000A091D">
        <w:rPr>
          <w:b/>
          <w:sz w:val="24"/>
          <w:szCs w:val="24"/>
        </w:rPr>
        <w:t xml:space="preserve"> Practi</w:t>
      </w:r>
      <w:r w:rsidR="006E70E8" w:rsidRPr="000A091D">
        <w:rPr>
          <w:b/>
          <w:sz w:val="24"/>
          <w:szCs w:val="24"/>
        </w:rPr>
        <w:t>ti</w:t>
      </w:r>
      <w:r w:rsidRPr="000A091D">
        <w:rPr>
          <w:b/>
          <w:sz w:val="24"/>
          <w:szCs w:val="24"/>
        </w:rPr>
        <w:t>oners</w:t>
      </w:r>
    </w:p>
    <w:p w:rsidR="002866A6" w:rsidRPr="00CF575E" w:rsidRDefault="002866A6" w:rsidP="000A091D">
      <w:pPr>
        <w:pStyle w:val="ListParagraph"/>
        <w:autoSpaceDE w:val="0"/>
        <w:autoSpaceDN w:val="0"/>
        <w:adjustRightInd w:val="0"/>
        <w:spacing w:after="0" w:line="240" w:lineRule="auto"/>
        <w:rPr>
          <w:b/>
        </w:rPr>
      </w:pPr>
      <w:r>
        <w:t>Therapists can play an important role in helping prepare children for permanency activities and address the issues of grief and loss that might become barriers to successful permanent connections.</w:t>
      </w:r>
    </w:p>
    <w:sectPr w:rsidR="002866A6" w:rsidRPr="00CF575E" w:rsidSect="008D6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3E" w:rsidRDefault="00FF423E" w:rsidP="008C7A6F">
      <w:pPr>
        <w:spacing w:after="0" w:line="240" w:lineRule="auto"/>
      </w:pPr>
      <w:r>
        <w:separator/>
      </w:r>
    </w:p>
  </w:endnote>
  <w:endnote w:type="continuationSeparator" w:id="0">
    <w:p w:rsidR="00FF423E" w:rsidRDefault="00FF423E" w:rsidP="008C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3E" w:rsidRDefault="00FF423E" w:rsidP="008C7A6F">
      <w:pPr>
        <w:spacing w:after="0" w:line="240" w:lineRule="auto"/>
      </w:pPr>
      <w:r>
        <w:separator/>
      </w:r>
    </w:p>
  </w:footnote>
  <w:footnote w:type="continuationSeparator" w:id="0">
    <w:p w:rsidR="00FF423E" w:rsidRDefault="00FF423E" w:rsidP="008C7A6F">
      <w:pPr>
        <w:spacing w:after="0" w:line="240" w:lineRule="auto"/>
      </w:pPr>
      <w:r>
        <w:continuationSeparator/>
      </w:r>
    </w:p>
  </w:footnote>
  <w:footnote w:id="1">
    <w:p w:rsidR="008C7A6F" w:rsidRDefault="008C7A6F" w:rsidP="006659DB">
      <w:pPr>
        <w:shd w:val="clear" w:color="auto" w:fill="FFFFFF"/>
      </w:pPr>
      <w:r>
        <w:rPr>
          <w:rStyle w:val="FootnoteReference"/>
        </w:rPr>
        <w:footnoteRef/>
      </w:r>
      <w:r>
        <w:t xml:space="preserve"> </w:t>
      </w:r>
      <w:r w:rsidR="006659DB" w:rsidRPr="006659DB">
        <w:rPr>
          <w:sz w:val="18"/>
          <w:szCs w:val="18"/>
        </w:rPr>
        <w:t xml:space="preserve">Courtney, M. &amp; Dworsky, A. (2010). </w:t>
      </w:r>
      <w:r w:rsidR="006659DB" w:rsidRPr="006659DB">
        <w:rPr>
          <w:rFonts w:eastAsia="Times New Roman"/>
          <w:i/>
          <w:color w:val="000000"/>
          <w:sz w:val="18"/>
          <w:szCs w:val="18"/>
        </w:rPr>
        <w:t>Midwest Study of the Adult Functioning of Former Foster Youth</w:t>
      </w:r>
      <w:r w:rsidR="006659DB" w:rsidRPr="006659DB">
        <w:rPr>
          <w:rFonts w:eastAsia="Times New Roman"/>
          <w:color w:val="000000"/>
          <w:sz w:val="18"/>
          <w:szCs w:val="18"/>
        </w:rPr>
        <w:t>. Chapin Hall, University of Chicago.</w:t>
      </w:r>
    </w:p>
  </w:footnote>
  <w:footnote w:id="2">
    <w:p w:rsidR="006659DB" w:rsidRDefault="006E70E8" w:rsidP="006659DB">
      <w:pPr>
        <w:shd w:val="clear" w:color="auto" w:fill="FFFFFF"/>
        <w:rPr>
          <w:rFonts w:eastAsia="Times New Roman"/>
          <w:color w:val="000000"/>
          <w:sz w:val="28"/>
          <w:szCs w:val="28"/>
        </w:rPr>
      </w:pPr>
      <w:r>
        <w:rPr>
          <w:rStyle w:val="FootnoteReference"/>
        </w:rPr>
        <w:footnoteRef/>
      </w:r>
      <w:r>
        <w:t xml:space="preserve"> </w:t>
      </w:r>
      <w:r w:rsidR="006659DB" w:rsidRPr="006659DB">
        <w:rPr>
          <w:rFonts w:eastAsia="Times New Roman"/>
          <w:i/>
          <w:color w:val="000000"/>
          <w:sz w:val="18"/>
          <w:szCs w:val="18"/>
        </w:rPr>
        <w:t>Six Steps to Find A Family: A Practice Guide to Family Search and Engagement</w:t>
      </w:r>
      <w:r w:rsidR="006659DB" w:rsidRPr="006659DB">
        <w:rPr>
          <w:rFonts w:eastAsia="Times New Roman"/>
          <w:color w:val="000000"/>
          <w:sz w:val="18"/>
          <w:szCs w:val="18"/>
        </w:rPr>
        <w:t xml:space="preserve"> </w:t>
      </w:r>
      <w:r w:rsidR="006659DB">
        <w:rPr>
          <w:rFonts w:eastAsia="Times New Roman"/>
          <w:color w:val="000000"/>
          <w:sz w:val="18"/>
          <w:szCs w:val="18"/>
        </w:rPr>
        <w:t>(</w:t>
      </w:r>
      <w:r w:rsidR="006659DB" w:rsidRPr="006659DB">
        <w:rPr>
          <w:rFonts w:eastAsia="Times New Roman"/>
          <w:color w:val="000000"/>
          <w:sz w:val="18"/>
          <w:szCs w:val="18"/>
        </w:rPr>
        <w:t>2007</w:t>
      </w:r>
      <w:r w:rsidR="006659DB">
        <w:rPr>
          <w:rFonts w:eastAsia="Times New Roman"/>
          <w:color w:val="000000"/>
          <w:sz w:val="18"/>
          <w:szCs w:val="18"/>
        </w:rPr>
        <w:t xml:space="preserve">). </w:t>
      </w:r>
      <w:r w:rsidR="006659DB" w:rsidRPr="006659DB">
        <w:rPr>
          <w:rFonts w:eastAsia="Times New Roman"/>
          <w:color w:val="000000"/>
          <w:sz w:val="18"/>
          <w:szCs w:val="18"/>
        </w:rPr>
        <w:t xml:space="preserve"> National Resource Center for Family Centered Practice and Permanency at Hunter College School of Social Work and the California Permanency for Youth Project.</w:t>
      </w:r>
    </w:p>
    <w:p w:rsidR="006E70E8" w:rsidRDefault="006E70E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635"/>
    <w:multiLevelType w:val="hybridMultilevel"/>
    <w:tmpl w:val="C02A94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3F3CE6"/>
    <w:multiLevelType w:val="hybridMultilevel"/>
    <w:tmpl w:val="F64C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341E70"/>
    <w:multiLevelType w:val="hybridMultilevel"/>
    <w:tmpl w:val="E61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337B3"/>
    <w:multiLevelType w:val="hybridMultilevel"/>
    <w:tmpl w:val="0264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D4B07"/>
    <w:multiLevelType w:val="hybridMultilevel"/>
    <w:tmpl w:val="454E3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E564F"/>
    <w:multiLevelType w:val="hybridMultilevel"/>
    <w:tmpl w:val="9452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7323F"/>
    <w:multiLevelType w:val="hybridMultilevel"/>
    <w:tmpl w:val="5FE8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AF0AA6"/>
    <w:multiLevelType w:val="hybridMultilevel"/>
    <w:tmpl w:val="5A0CED20"/>
    <w:lvl w:ilvl="0" w:tplc="7A4E773E">
      <w:start w:val="1"/>
      <w:numFmt w:val="bullet"/>
      <w:lvlText w:val=""/>
      <w:lvlJc w:val="left"/>
      <w:pPr>
        <w:tabs>
          <w:tab w:val="num" w:pos="720"/>
        </w:tabs>
        <w:ind w:left="720" w:hanging="360"/>
      </w:pPr>
      <w:rPr>
        <w:rFonts w:ascii="Wingdings" w:hAnsi="Wingdings" w:hint="default"/>
      </w:rPr>
    </w:lvl>
    <w:lvl w:ilvl="1" w:tplc="08420AB8" w:tentative="1">
      <w:start w:val="1"/>
      <w:numFmt w:val="bullet"/>
      <w:lvlText w:val=""/>
      <w:lvlJc w:val="left"/>
      <w:pPr>
        <w:tabs>
          <w:tab w:val="num" w:pos="1440"/>
        </w:tabs>
        <w:ind w:left="1440" w:hanging="360"/>
      </w:pPr>
      <w:rPr>
        <w:rFonts w:ascii="Wingdings" w:hAnsi="Wingdings" w:hint="default"/>
      </w:rPr>
    </w:lvl>
    <w:lvl w:ilvl="2" w:tplc="7E88CE62" w:tentative="1">
      <w:start w:val="1"/>
      <w:numFmt w:val="bullet"/>
      <w:lvlText w:val=""/>
      <w:lvlJc w:val="left"/>
      <w:pPr>
        <w:tabs>
          <w:tab w:val="num" w:pos="2160"/>
        </w:tabs>
        <w:ind w:left="2160" w:hanging="360"/>
      </w:pPr>
      <w:rPr>
        <w:rFonts w:ascii="Wingdings" w:hAnsi="Wingdings" w:hint="default"/>
      </w:rPr>
    </w:lvl>
    <w:lvl w:ilvl="3" w:tplc="FF146B6A" w:tentative="1">
      <w:start w:val="1"/>
      <w:numFmt w:val="bullet"/>
      <w:lvlText w:val=""/>
      <w:lvlJc w:val="left"/>
      <w:pPr>
        <w:tabs>
          <w:tab w:val="num" w:pos="2880"/>
        </w:tabs>
        <w:ind w:left="2880" w:hanging="360"/>
      </w:pPr>
      <w:rPr>
        <w:rFonts w:ascii="Wingdings" w:hAnsi="Wingdings" w:hint="default"/>
      </w:rPr>
    </w:lvl>
    <w:lvl w:ilvl="4" w:tplc="40349140" w:tentative="1">
      <w:start w:val="1"/>
      <w:numFmt w:val="bullet"/>
      <w:lvlText w:val=""/>
      <w:lvlJc w:val="left"/>
      <w:pPr>
        <w:tabs>
          <w:tab w:val="num" w:pos="3600"/>
        </w:tabs>
        <w:ind w:left="3600" w:hanging="360"/>
      </w:pPr>
      <w:rPr>
        <w:rFonts w:ascii="Wingdings" w:hAnsi="Wingdings" w:hint="default"/>
      </w:rPr>
    </w:lvl>
    <w:lvl w:ilvl="5" w:tplc="CF6AB8E0" w:tentative="1">
      <w:start w:val="1"/>
      <w:numFmt w:val="bullet"/>
      <w:lvlText w:val=""/>
      <w:lvlJc w:val="left"/>
      <w:pPr>
        <w:tabs>
          <w:tab w:val="num" w:pos="4320"/>
        </w:tabs>
        <w:ind w:left="4320" w:hanging="360"/>
      </w:pPr>
      <w:rPr>
        <w:rFonts w:ascii="Wingdings" w:hAnsi="Wingdings" w:hint="default"/>
      </w:rPr>
    </w:lvl>
    <w:lvl w:ilvl="6" w:tplc="13EA6F2A" w:tentative="1">
      <w:start w:val="1"/>
      <w:numFmt w:val="bullet"/>
      <w:lvlText w:val=""/>
      <w:lvlJc w:val="left"/>
      <w:pPr>
        <w:tabs>
          <w:tab w:val="num" w:pos="5040"/>
        </w:tabs>
        <w:ind w:left="5040" w:hanging="360"/>
      </w:pPr>
      <w:rPr>
        <w:rFonts w:ascii="Wingdings" w:hAnsi="Wingdings" w:hint="default"/>
      </w:rPr>
    </w:lvl>
    <w:lvl w:ilvl="7" w:tplc="0764E202" w:tentative="1">
      <w:start w:val="1"/>
      <w:numFmt w:val="bullet"/>
      <w:lvlText w:val=""/>
      <w:lvlJc w:val="left"/>
      <w:pPr>
        <w:tabs>
          <w:tab w:val="num" w:pos="5760"/>
        </w:tabs>
        <w:ind w:left="5760" w:hanging="360"/>
      </w:pPr>
      <w:rPr>
        <w:rFonts w:ascii="Wingdings" w:hAnsi="Wingdings" w:hint="default"/>
      </w:rPr>
    </w:lvl>
    <w:lvl w:ilvl="8" w:tplc="F05482D0" w:tentative="1">
      <w:start w:val="1"/>
      <w:numFmt w:val="bullet"/>
      <w:lvlText w:val=""/>
      <w:lvlJc w:val="left"/>
      <w:pPr>
        <w:tabs>
          <w:tab w:val="num" w:pos="6480"/>
        </w:tabs>
        <w:ind w:left="6480" w:hanging="360"/>
      </w:pPr>
      <w:rPr>
        <w:rFonts w:ascii="Wingdings" w:hAnsi="Wingdings" w:hint="default"/>
      </w:rPr>
    </w:lvl>
  </w:abstractNum>
  <w:abstractNum w:abstractNumId="8">
    <w:nsid w:val="28F16327"/>
    <w:multiLevelType w:val="hybridMultilevel"/>
    <w:tmpl w:val="4140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13292D"/>
    <w:multiLevelType w:val="hybridMultilevel"/>
    <w:tmpl w:val="B4C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3490D"/>
    <w:multiLevelType w:val="hybridMultilevel"/>
    <w:tmpl w:val="6FB6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FA032E"/>
    <w:multiLevelType w:val="hybridMultilevel"/>
    <w:tmpl w:val="423E9A7E"/>
    <w:lvl w:ilvl="0" w:tplc="77AEC92C">
      <w:start w:val="1"/>
      <w:numFmt w:val="bullet"/>
      <w:lvlText w:val=""/>
      <w:lvlJc w:val="left"/>
      <w:pPr>
        <w:tabs>
          <w:tab w:val="num" w:pos="720"/>
        </w:tabs>
        <w:ind w:left="720" w:hanging="360"/>
      </w:pPr>
      <w:rPr>
        <w:rFonts w:ascii="Wingdings" w:hAnsi="Wingdings" w:hint="default"/>
      </w:rPr>
    </w:lvl>
    <w:lvl w:ilvl="1" w:tplc="424A9892" w:tentative="1">
      <w:start w:val="1"/>
      <w:numFmt w:val="bullet"/>
      <w:lvlText w:val=""/>
      <w:lvlJc w:val="left"/>
      <w:pPr>
        <w:tabs>
          <w:tab w:val="num" w:pos="1440"/>
        </w:tabs>
        <w:ind w:left="1440" w:hanging="360"/>
      </w:pPr>
      <w:rPr>
        <w:rFonts w:ascii="Wingdings" w:hAnsi="Wingdings" w:hint="default"/>
      </w:rPr>
    </w:lvl>
    <w:lvl w:ilvl="2" w:tplc="98CC4DD4" w:tentative="1">
      <w:start w:val="1"/>
      <w:numFmt w:val="bullet"/>
      <w:lvlText w:val=""/>
      <w:lvlJc w:val="left"/>
      <w:pPr>
        <w:tabs>
          <w:tab w:val="num" w:pos="2160"/>
        </w:tabs>
        <w:ind w:left="2160" w:hanging="360"/>
      </w:pPr>
      <w:rPr>
        <w:rFonts w:ascii="Wingdings" w:hAnsi="Wingdings" w:hint="default"/>
      </w:rPr>
    </w:lvl>
    <w:lvl w:ilvl="3" w:tplc="3BB0342C" w:tentative="1">
      <w:start w:val="1"/>
      <w:numFmt w:val="bullet"/>
      <w:lvlText w:val=""/>
      <w:lvlJc w:val="left"/>
      <w:pPr>
        <w:tabs>
          <w:tab w:val="num" w:pos="2880"/>
        </w:tabs>
        <w:ind w:left="2880" w:hanging="360"/>
      </w:pPr>
      <w:rPr>
        <w:rFonts w:ascii="Wingdings" w:hAnsi="Wingdings" w:hint="default"/>
      </w:rPr>
    </w:lvl>
    <w:lvl w:ilvl="4" w:tplc="C226D0E2" w:tentative="1">
      <w:start w:val="1"/>
      <w:numFmt w:val="bullet"/>
      <w:lvlText w:val=""/>
      <w:lvlJc w:val="left"/>
      <w:pPr>
        <w:tabs>
          <w:tab w:val="num" w:pos="3600"/>
        </w:tabs>
        <w:ind w:left="3600" w:hanging="360"/>
      </w:pPr>
      <w:rPr>
        <w:rFonts w:ascii="Wingdings" w:hAnsi="Wingdings" w:hint="default"/>
      </w:rPr>
    </w:lvl>
    <w:lvl w:ilvl="5" w:tplc="2826A9EA" w:tentative="1">
      <w:start w:val="1"/>
      <w:numFmt w:val="bullet"/>
      <w:lvlText w:val=""/>
      <w:lvlJc w:val="left"/>
      <w:pPr>
        <w:tabs>
          <w:tab w:val="num" w:pos="4320"/>
        </w:tabs>
        <w:ind w:left="4320" w:hanging="360"/>
      </w:pPr>
      <w:rPr>
        <w:rFonts w:ascii="Wingdings" w:hAnsi="Wingdings" w:hint="default"/>
      </w:rPr>
    </w:lvl>
    <w:lvl w:ilvl="6" w:tplc="F6C0A9E6" w:tentative="1">
      <w:start w:val="1"/>
      <w:numFmt w:val="bullet"/>
      <w:lvlText w:val=""/>
      <w:lvlJc w:val="left"/>
      <w:pPr>
        <w:tabs>
          <w:tab w:val="num" w:pos="5040"/>
        </w:tabs>
        <w:ind w:left="5040" w:hanging="360"/>
      </w:pPr>
      <w:rPr>
        <w:rFonts w:ascii="Wingdings" w:hAnsi="Wingdings" w:hint="default"/>
      </w:rPr>
    </w:lvl>
    <w:lvl w:ilvl="7" w:tplc="7E46C7B0" w:tentative="1">
      <w:start w:val="1"/>
      <w:numFmt w:val="bullet"/>
      <w:lvlText w:val=""/>
      <w:lvlJc w:val="left"/>
      <w:pPr>
        <w:tabs>
          <w:tab w:val="num" w:pos="5760"/>
        </w:tabs>
        <w:ind w:left="5760" w:hanging="360"/>
      </w:pPr>
      <w:rPr>
        <w:rFonts w:ascii="Wingdings" w:hAnsi="Wingdings" w:hint="default"/>
      </w:rPr>
    </w:lvl>
    <w:lvl w:ilvl="8" w:tplc="68C25012" w:tentative="1">
      <w:start w:val="1"/>
      <w:numFmt w:val="bullet"/>
      <w:lvlText w:val=""/>
      <w:lvlJc w:val="left"/>
      <w:pPr>
        <w:tabs>
          <w:tab w:val="num" w:pos="6480"/>
        </w:tabs>
        <w:ind w:left="6480" w:hanging="360"/>
      </w:pPr>
      <w:rPr>
        <w:rFonts w:ascii="Wingdings" w:hAnsi="Wingdings" w:hint="default"/>
      </w:rPr>
    </w:lvl>
  </w:abstractNum>
  <w:abstractNum w:abstractNumId="12">
    <w:nsid w:val="3F3817DB"/>
    <w:multiLevelType w:val="hybridMultilevel"/>
    <w:tmpl w:val="C5225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6C1CCF"/>
    <w:multiLevelType w:val="hybridMultilevel"/>
    <w:tmpl w:val="B42463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56971"/>
    <w:multiLevelType w:val="hybridMultilevel"/>
    <w:tmpl w:val="C6A8A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99B2EEB"/>
    <w:multiLevelType w:val="hybridMultilevel"/>
    <w:tmpl w:val="2DEC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5274B2"/>
    <w:multiLevelType w:val="hybridMultilevel"/>
    <w:tmpl w:val="1DE8C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B3412"/>
    <w:multiLevelType w:val="hybridMultilevel"/>
    <w:tmpl w:val="9968B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1"/>
  </w:num>
  <w:num w:numId="4">
    <w:abstractNumId w:val="10"/>
  </w:num>
  <w:num w:numId="5">
    <w:abstractNumId w:val="8"/>
  </w:num>
  <w:num w:numId="6">
    <w:abstractNumId w:val="14"/>
  </w:num>
  <w:num w:numId="7">
    <w:abstractNumId w:val="12"/>
  </w:num>
  <w:num w:numId="8">
    <w:abstractNumId w:val="7"/>
  </w:num>
  <w:num w:numId="9">
    <w:abstractNumId w:val="11"/>
  </w:num>
  <w:num w:numId="10">
    <w:abstractNumId w:val="0"/>
  </w:num>
  <w:num w:numId="11">
    <w:abstractNumId w:val="17"/>
  </w:num>
  <w:num w:numId="12">
    <w:abstractNumId w:val="9"/>
  </w:num>
  <w:num w:numId="13">
    <w:abstractNumId w:val="5"/>
  </w:num>
  <w:num w:numId="14">
    <w:abstractNumId w:val="4"/>
  </w:num>
  <w:num w:numId="15">
    <w:abstractNumId w:val="2"/>
  </w:num>
  <w:num w:numId="16">
    <w:abstractNumId w:val="1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DE"/>
    <w:rsid w:val="00027F22"/>
    <w:rsid w:val="00042DF9"/>
    <w:rsid w:val="00045629"/>
    <w:rsid w:val="000468B3"/>
    <w:rsid w:val="0006207D"/>
    <w:rsid w:val="00092A6C"/>
    <w:rsid w:val="00094603"/>
    <w:rsid w:val="0009746F"/>
    <w:rsid w:val="000A091D"/>
    <w:rsid w:val="000B10A6"/>
    <w:rsid w:val="000B4B03"/>
    <w:rsid w:val="000C0228"/>
    <w:rsid w:val="000D56BC"/>
    <w:rsid w:val="000F0B57"/>
    <w:rsid w:val="00102B78"/>
    <w:rsid w:val="00105F2D"/>
    <w:rsid w:val="001210FD"/>
    <w:rsid w:val="00152237"/>
    <w:rsid w:val="00174446"/>
    <w:rsid w:val="00191B58"/>
    <w:rsid w:val="001B6338"/>
    <w:rsid w:val="001E43AD"/>
    <w:rsid w:val="001F5349"/>
    <w:rsid w:val="001F7184"/>
    <w:rsid w:val="00231BCB"/>
    <w:rsid w:val="0023625B"/>
    <w:rsid w:val="00245BBF"/>
    <w:rsid w:val="00251A10"/>
    <w:rsid w:val="00252B76"/>
    <w:rsid w:val="00257EB7"/>
    <w:rsid w:val="00262DCB"/>
    <w:rsid w:val="002676B6"/>
    <w:rsid w:val="002727F5"/>
    <w:rsid w:val="002866A6"/>
    <w:rsid w:val="002924D8"/>
    <w:rsid w:val="002A16B8"/>
    <w:rsid w:val="002A2206"/>
    <w:rsid w:val="002A2ABB"/>
    <w:rsid w:val="002A453D"/>
    <w:rsid w:val="002A5FA7"/>
    <w:rsid w:val="002B6519"/>
    <w:rsid w:val="002C3447"/>
    <w:rsid w:val="002C5AC3"/>
    <w:rsid w:val="002C75C8"/>
    <w:rsid w:val="002D27E6"/>
    <w:rsid w:val="0030001B"/>
    <w:rsid w:val="003033F4"/>
    <w:rsid w:val="00305DF8"/>
    <w:rsid w:val="0031234B"/>
    <w:rsid w:val="003361D3"/>
    <w:rsid w:val="00344606"/>
    <w:rsid w:val="00355EBD"/>
    <w:rsid w:val="00364798"/>
    <w:rsid w:val="00367034"/>
    <w:rsid w:val="003A3974"/>
    <w:rsid w:val="003B3797"/>
    <w:rsid w:val="003C72E3"/>
    <w:rsid w:val="003D2E58"/>
    <w:rsid w:val="003E6D1D"/>
    <w:rsid w:val="003F3D5C"/>
    <w:rsid w:val="004007D6"/>
    <w:rsid w:val="0041213E"/>
    <w:rsid w:val="004343E3"/>
    <w:rsid w:val="004449BC"/>
    <w:rsid w:val="00477509"/>
    <w:rsid w:val="00492AF2"/>
    <w:rsid w:val="00493305"/>
    <w:rsid w:val="004A293B"/>
    <w:rsid w:val="004B7118"/>
    <w:rsid w:val="004B71BC"/>
    <w:rsid w:val="004E6AEB"/>
    <w:rsid w:val="00502A90"/>
    <w:rsid w:val="00504566"/>
    <w:rsid w:val="00506494"/>
    <w:rsid w:val="00513C41"/>
    <w:rsid w:val="005352EC"/>
    <w:rsid w:val="005401A3"/>
    <w:rsid w:val="0054034C"/>
    <w:rsid w:val="00573F6D"/>
    <w:rsid w:val="00590844"/>
    <w:rsid w:val="005A06CB"/>
    <w:rsid w:val="005C094C"/>
    <w:rsid w:val="005C6E7C"/>
    <w:rsid w:val="005D3B6A"/>
    <w:rsid w:val="005D5053"/>
    <w:rsid w:val="005E396F"/>
    <w:rsid w:val="005E4333"/>
    <w:rsid w:val="005F4A1C"/>
    <w:rsid w:val="0060373C"/>
    <w:rsid w:val="00633E80"/>
    <w:rsid w:val="006356A8"/>
    <w:rsid w:val="00635B98"/>
    <w:rsid w:val="00636C45"/>
    <w:rsid w:val="00651EC4"/>
    <w:rsid w:val="006659DB"/>
    <w:rsid w:val="00671FDF"/>
    <w:rsid w:val="006A3D32"/>
    <w:rsid w:val="006E70E8"/>
    <w:rsid w:val="006F39A3"/>
    <w:rsid w:val="006F5545"/>
    <w:rsid w:val="006F64AE"/>
    <w:rsid w:val="00725FBE"/>
    <w:rsid w:val="0074542F"/>
    <w:rsid w:val="00752BAA"/>
    <w:rsid w:val="0075562F"/>
    <w:rsid w:val="00756775"/>
    <w:rsid w:val="00770195"/>
    <w:rsid w:val="00772CA7"/>
    <w:rsid w:val="007756C0"/>
    <w:rsid w:val="00777914"/>
    <w:rsid w:val="007877A2"/>
    <w:rsid w:val="00790EAD"/>
    <w:rsid w:val="007A0472"/>
    <w:rsid w:val="007A7F2D"/>
    <w:rsid w:val="007C0073"/>
    <w:rsid w:val="007D2F98"/>
    <w:rsid w:val="007F6B51"/>
    <w:rsid w:val="00812F07"/>
    <w:rsid w:val="00831FF2"/>
    <w:rsid w:val="00833629"/>
    <w:rsid w:val="00855D15"/>
    <w:rsid w:val="00855D4F"/>
    <w:rsid w:val="00861028"/>
    <w:rsid w:val="008619F5"/>
    <w:rsid w:val="0087362A"/>
    <w:rsid w:val="008A7C1F"/>
    <w:rsid w:val="008C0197"/>
    <w:rsid w:val="008C788F"/>
    <w:rsid w:val="008C7A6F"/>
    <w:rsid w:val="008D69DF"/>
    <w:rsid w:val="00926D1E"/>
    <w:rsid w:val="00933515"/>
    <w:rsid w:val="00941AB1"/>
    <w:rsid w:val="0097092D"/>
    <w:rsid w:val="009742F1"/>
    <w:rsid w:val="0099674F"/>
    <w:rsid w:val="009A562D"/>
    <w:rsid w:val="009C05E9"/>
    <w:rsid w:val="009C6A55"/>
    <w:rsid w:val="009D7BFA"/>
    <w:rsid w:val="009F712E"/>
    <w:rsid w:val="00A2024B"/>
    <w:rsid w:val="00A24B80"/>
    <w:rsid w:val="00A43243"/>
    <w:rsid w:val="00A4747C"/>
    <w:rsid w:val="00A50EE6"/>
    <w:rsid w:val="00A620E8"/>
    <w:rsid w:val="00AA1815"/>
    <w:rsid w:val="00AA68C4"/>
    <w:rsid w:val="00AB79DE"/>
    <w:rsid w:val="00AD6110"/>
    <w:rsid w:val="00AF1D82"/>
    <w:rsid w:val="00B243ED"/>
    <w:rsid w:val="00B32D0C"/>
    <w:rsid w:val="00B40AEA"/>
    <w:rsid w:val="00B518F8"/>
    <w:rsid w:val="00B63117"/>
    <w:rsid w:val="00BC16B8"/>
    <w:rsid w:val="00C079F6"/>
    <w:rsid w:val="00C131B7"/>
    <w:rsid w:val="00C273C0"/>
    <w:rsid w:val="00C30DD4"/>
    <w:rsid w:val="00C44172"/>
    <w:rsid w:val="00C464FF"/>
    <w:rsid w:val="00C61304"/>
    <w:rsid w:val="00C7655A"/>
    <w:rsid w:val="00C97E7A"/>
    <w:rsid w:val="00CA0E38"/>
    <w:rsid w:val="00CA1411"/>
    <w:rsid w:val="00CA7E77"/>
    <w:rsid w:val="00CB3E07"/>
    <w:rsid w:val="00CE08DB"/>
    <w:rsid w:val="00CF31AB"/>
    <w:rsid w:val="00CF575E"/>
    <w:rsid w:val="00D138D7"/>
    <w:rsid w:val="00D13A0A"/>
    <w:rsid w:val="00D16135"/>
    <w:rsid w:val="00D328B5"/>
    <w:rsid w:val="00D657BB"/>
    <w:rsid w:val="00D74C6C"/>
    <w:rsid w:val="00D765C9"/>
    <w:rsid w:val="00D87C97"/>
    <w:rsid w:val="00D925DB"/>
    <w:rsid w:val="00DA0315"/>
    <w:rsid w:val="00DB0718"/>
    <w:rsid w:val="00DB6086"/>
    <w:rsid w:val="00DC1CA7"/>
    <w:rsid w:val="00DC4309"/>
    <w:rsid w:val="00DD3460"/>
    <w:rsid w:val="00DE4F95"/>
    <w:rsid w:val="00DF369E"/>
    <w:rsid w:val="00E0386F"/>
    <w:rsid w:val="00E10AEE"/>
    <w:rsid w:val="00E330FC"/>
    <w:rsid w:val="00E5177D"/>
    <w:rsid w:val="00E53D3F"/>
    <w:rsid w:val="00E65E55"/>
    <w:rsid w:val="00E65F2F"/>
    <w:rsid w:val="00E678CD"/>
    <w:rsid w:val="00E73549"/>
    <w:rsid w:val="00E90642"/>
    <w:rsid w:val="00EA092B"/>
    <w:rsid w:val="00EA4B47"/>
    <w:rsid w:val="00EA7CE4"/>
    <w:rsid w:val="00EB02B3"/>
    <w:rsid w:val="00EB543E"/>
    <w:rsid w:val="00EC1483"/>
    <w:rsid w:val="00EF1C25"/>
    <w:rsid w:val="00EF6DD7"/>
    <w:rsid w:val="00F14537"/>
    <w:rsid w:val="00F16982"/>
    <w:rsid w:val="00F6210D"/>
    <w:rsid w:val="00F628DE"/>
    <w:rsid w:val="00F65627"/>
    <w:rsid w:val="00F744D3"/>
    <w:rsid w:val="00F872CD"/>
    <w:rsid w:val="00F908FB"/>
    <w:rsid w:val="00F97FE6"/>
    <w:rsid w:val="00FB3688"/>
    <w:rsid w:val="00FB37A4"/>
    <w:rsid w:val="00FB3B44"/>
    <w:rsid w:val="00FF423E"/>
    <w:rsid w:val="00FF5D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D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28DE"/>
    <w:pPr>
      <w:ind w:left="720"/>
    </w:pPr>
  </w:style>
  <w:style w:type="character" w:styleId="CommentReference">
    <w:name w:val="annotation reference"/>
    <w:basedOn w:val="DefaultParagraphFont"/>
    <w:uiPriority w:val="99"/>
    <w:semiHidden/>
    <w:rsid w:val="00F628DE"/>
    <w:rPr>
      <w:rFonts w:cs="Times New Roman"/>
      <w:sz w:val="16"/>
    </w:rPr>
  </w:style>
  <w:style w:type="paragraph" w:styleId="CommentText">
    <w:name w:val="annotation text"/>
    <w:basedOn w:val="Normal"/>
    <w:link w:val="CommentTextChar"/>
    <w:uiPriority w:val="99"/>
    <w:semiHidden/>
    <w:rsid w:val="00F628DE"/>
    <w:pPr>
      <w:spacing w:line="240" w:lineRule="auto"/>
    </w:pPr>
    <w:rPr>
      <w:sz w:val="20"/>
      <w:szCs w:val="20"/>
    </w:rPr>
  </w:style>
  <w:style w:type="character" w:customStyle="1" w:styleId="CommentTextChar">
    <w:name w:val="Comment Text Char"/>
    <w:basedOn w:val="DefaultParagraphFont"/>
    <w:link w:val="CommentText"/>
    <w:uiPriority w:val="99"/>
    <w:semiHidden/>
    <w:rsid w:val="00F628DE"/>
    <w:rPr>
      <w:rFonts w:ascii="Calibri" w:hAnsi="Calibri" w:cs="Calibri"/>
      <w:sz w:val="20"/>
    </w:rPr>
  </w:style>
  <w:style w:type="paragraph" w:styleId="BalloonText">
    <w:name w:val="Balloon Text"/>
    <w:basedOn w:val="Normal"/>
    <w:link w:val="BalloonTextChar"/>
    <w:uiPriority w:val="99"/>
    <w:semiHidden/>
    <w:rsid w:val="00F62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DE"/>
    <w:rPr>
      <w:rFonts w:ascii="Tahoma" w:hAnsi="Tahoma" w:cs="Tahoma"/>
      <w:sz w:val="16"/>
    </w:rPr>
  </w:style>
  <w:style w:type="paragraph" w:styleId="CommentSubject">
    <w:name w:val="annotation subject"/>
    <w:basedOn w:val="CommentText"/>
    <w:next w:val="CommentText"/>
    <w:link w:val="CommentSubjectChar"/>
    <w:uiPriority w:val="99"/>
    <w:semiHidden/>
    <w:rsid w:val="00F628DE"/>
    <w:rPr>
      <w:b/>
      <w:bCs/>
    </w:rPr>
  </w:style>
  <w:style w:type="character" w:customStyle="1" w:styleId="CommentSubjectChar">
    <w:name w:val="Comment Subject Char"/>
    <w:basedOn w:val="CommentTextChar"/>
    <w:link w:val="CommentSubject"/>
    <w:uiPriority w:val="99"/>
    <w:semiHidden/>
    <w:rsid w:val="00F628DE"/>
    <w:rPr>
      <w:rFonts w:ascii="Calibri" w:hAnsi="Calibri" w:cs="Calibri"/>
      <w:b/>
      <w:bCs/>
      <w:sz w:val="20"/>
    </w:rPr>
  </w:style>
  <w:style w:type="paragraph" w:styleId="Revision">
    <w:name w:val="Revision"/>
    <w:hidden/>
    <w:uiPriority w:val="99"/>
    <w:semiHidden/>
    <w:rsid w:val="00CA7E77"/>
    <w:rPr>
      <w:rFonts w:cs="Calibri"/>
      <w:sz w:val="22"/>
      <w:szCs w:val="22"/>
    </w:rPr>
  </w:style>
  <w:style w:type="paragraph" w:styleId="FootnoteText">
    <w:name w:val="footnote text"/>
    <w:basedOn w:val="Normal"/>
    <w:link w:val="FootnoteTextChar"/>
    <w:uiPriority w:val="99"/>
    <w:semiHidden/>
    <w:unhideWhenUsed/>
    <w:rsid w:val="008C7A6F"/>
    <w:rPr>
      <w:sz w:val="20"/>
      <w:szCs w:val="20"/>
    </w:rPr>
  </w:style>
  <w:style w:type="character" w:customStyle="1" w:styleId="FootnoteTextChar">
    <w:name w:val="Footnote Text Char"/>
    <w:basedOn w:val="DefaultParagraphFont"/>
    <w:link w:val="FootnoteText"/>
    <w:uiPriority w:val="99"/>
    <w:semiHidden/>
    <w:rsid w:val="008C7A6F"/>
    <w:rPr>
      <w:rFonts w:cs="Calibri"/>
    </w:rPr>
  </w:style>
  <w:style w:type="character" w:styleId="FootnoteReference">
    <w:name w:val="footnote reference"/>
    <w:basedOn w:val="DefaultParagraphFont"/>
    <w:uiPriority w:val="99"/>
    <w:semiHidden/>
    <w:unhideWhenUsed/>
    <w:rsid w:val="008C7A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D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28DE"/>
    <w:pPr>
      <w:ind w:left="720"/>
    </w:pPr>
  </w:style>
  <w:style w:type="character" w:styleId="CommentReference">
    <w:name w:val="annotation reference"/>
    <w:basedOn w:val="DefaultParagraphFont"/>
    <w:uiPriority w:val="99"/>
    <w:semiHidden/>
    <w:rsid w:val="00F628DE"/>
    <w:rPr>
      <w:rFonts w:cs="Times New Roman"/>
      <w:sz w:val="16"/>
    </w:rPr>
  </w:style>
  <w:style w:type="paragraph" w:styleId="CommentText">
    <w:name w:val="annotation text"/>
    <w:basedOn w:val="Normal"/>
    <w:link w:val="CommentTextChar"/>
    <w:uiPriority w:val="99"/>
    <w:semiHidden/>
    <w:rsid w:val="00F628DE"/>
    <w:pPr>
      <w:spacing w:line="240" w:lineRule="auto"/>
    </w:pPr>
    <w:rPr>
      <w:sz w:val="20"/>
      <w:szCs w:val="20"/>
    </w:rPr>
  </w:style>
  <w:style w:type="character" w:customStyle="1" w:styleId="CommentTextChar">
    <w:name w:val="Comment Text Char"/>
    <w:basedOn w:val="DefaultParagraphFont"/>
    <w:link w:val="CommentText"/>
    <w:uiPriority w:val="99"/>
    <w:semiHidden/>
    <w:rsid w:val="00F628DE"/>
    <w:rPr>
      <w:rFonts w:ascii="Calibri" w:hAnsi="Calibri" w:cs="Calibri"/>
      <w:sz w:val="20"/>
    </w:rPr>
  </w:style>
  <w:style w:type="paragraph" w:styleId="BalloonText">
    <w:name w:val="Balloon Text"/>
    <w:basedOn w:val="Normal"/>
    <w:link w:val="BalloonTextChar"/>
    <w:uiPriority w:val="99"/>
    <w:semiHidden/>
    <w:rsid w:val="00F62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DE"/>
    <w:rPr>
      <w:rFonts w:ascii="Tahoma" w:hAnsi="Tahoma" w:cs="Tahoma"/>
      <w:sz w:val="16"/>
    </w:rPr>
  </w:style>
  <w:style w:type="paragraph" w:styleId="CommentSubject">
    <w:name w:val="annotation subject"/>
    <w:basedOn w:val="CommentText"/>
    <w:next w:val="CommentText"/>
    <w:link w:val="CommentSubjectChar"/>
    <w:uiPriority w:val="99"/>
    <w:semiHidden/>
    <w:rsid w:val="00F628DE"/>
    <w:rPr>
      <w:b/>
      <w:bCs/>
    </w:rPr>
  </w:style>
  <w:style w:type="character" w:customStyle="1" w:styleId="CommentSubjectChar">
    <w:name w:val="Comment Subject Char"/>
    <w:basedOn w:val="CommentTextChar"/>
    <w:link w:val="CommentSubject"/>
    <w:uiPriority w:val="99"/>
    <w:semiHidden/>
    <w:rsid w:val="00F628DE"/>
    <w:rPr>
      <w:rFonts w:ascii="Calibri" w:hAnsi="Calibri" w:cs="Calibri"/>
      <w:b/>
      <w:bCs/>
      <w:sz w:val="20"/>
    </w:rPr>
  </w:style>
  <w:style w:type="paragraph" w:styleId="Revision">
    <w:name w:val="Revision"/>
    <w:hidden/>
    <w:uiPriority w:val="99"/>
    <w:semiHidden/>
    <w:rsid w:val="00CA7E77"/>
    <w:rPr>
      <w:rFonts w:cs="Calibri"/>
      <w:sz w:val="22"/>
      <w:szCs w:val="22"/>
    </w:rPr>
  </w:style>
  <w:style w:type="paragraph" w:styleId="FootnoteText">
    <w:name w:val="footnote text"/>
    <w:basedOn w:val="Normal"/>
    <w:link w:val="FootnoteTextChar"/>
    <w:uiPriority w:val="99"/>
    <w:semiHidden/>
    <w:unhideWhenUsed/>
    <w:rsid w:val="008C7A6F"/>
    <w:rPr>
      <w:sz w:val="20"/>
      <w:szCs w:val="20"/>
    </w:rPr>
  </w:style>
  <w:style w:type="character" w:customStyle="1" w:styleId="FootnoteTextChar">
    <w:name w:val="Footnote Text Char"/>
    <w:basedOn w:val="DefaultParagraphFont"/>
    <w:link w:val="FootnoteText"/>
    <w:uiPriority w:val="99"/>
    <w:semiHidden/>
    <w:rsid w:val="008C7A6F"/>
    <w:rPr>
      <w:rFonts w:cs="Calibri"/>
    </w:rPr>
  </w:style>
  <w:style w:type="character" w:styleId="FootnoteReference">
    <w:name w:val="footnote reference"/>
    <w:basedOn w:val="DefaultParagraphFont"/>
    <w:uiPriority w:val="99"/>
    <w:semiHidden/>
    <w:unhideWhenUsed/>
    <w:rsid w:val="008C7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6934">
      <w:bodyDiv w:val="1"/>
      <w:marLeft w:val="0"/>
      <w:marRight w:val="0"/>
      <w:marTop w:val="0"/>
      <w:marBottom w:val="0"/>
      <w:divBdr>
        <w:top w:val="none" w:sz="0" w:space="0" w:color="auto"/>
        <w:left w:val="none" w:sz="0" w:space="0" w:color="auto"/>
        <w:bottom w:val="none" w:sz="0" w:space="0" w:color="auto"/>
        <w:right w:val="none" w:sz="0" w:space="0" w:color="auto"/>
      </w:divBdr>
    </w:div>
    <w:div w:id="1527331308">
      <w:bodyDiv w:val="1"/>
      <w:marLeft w:val="0"/>
      <w:marRight w:val="0"/>
      <w:marTop w:val="0"/>
      <w:marBottom w:val="0"/>
      <w:divBdr>
        <w:top w:val="none" w:sz="0" w:space="0" w:color="auto"/>
        <w:left w:val="none" w:sz="0" w:space="0" w:color="auto"/>
        <w:bottom w:val="none" w:sz="0" w:space="0" w:color="auto"/>
        <w:right w:val="none" w:sz="0" w:space="0" w:color="auto"/>
      </w:divBdr>
    </w:div>
    <w:div w:id="15373043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03A0-C608-412E-B3F5-8D83C44A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Family Finding &amp; Engagement Fact Sheet</vt:lpstr>
    </vt:vector>
  </TitlesOfParts>
  <Company>American Humane Association</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Finding &amp; Engagement Fact Sheet</dc:title>
  <dc:creator>tiffanym</dc:creator>
  <cp:lastModifiedBy>Sevaughn Banks</cp:lastModifiedBy>
  <cp:revision>2</cp:revision>
  <cp:lastPrinted>2013-07-31T16:36:00Z</cp:lastPrinted>
  <dcterms:created xsi:type="dcterms:W3CDTF">2013-11-01T22:12:00Z</dcterms:created>
  <dcterms:modified xsi:type="dcterms:W3CDTF">2013-11-01T22:12:00Z</dcterms:modified>
</cp:coreProperties>
</file>